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65E" w:rsidRPr="002617F5" w:rsidRDefault="0092565E" w:rsidP="0092565E">
      <w:pPr>
        <w:jc w:val="center"/>
        <w:rPr>
          <w:b/>
        </w:rPr>
      </w:pPr>
    </w:p>
    <w:p w:rsidR="0092565E" w:rsidRPr="002617F5" w:rsidRDefault="0092565E" w:rsidP="0092565E">
      <w:pPr>
        <w:jc w:val="center"/>
        <w:rPr>
          <w:b/>
        </w:rPr>
      </w:pPr>
    </w:p>
    <w:p w:rsidR="0092565E" w:rsidRPr="002617F5" w:rsidRDefault="0092565E" w:rsidP="0092565E">
      <w:pPr>
        <w:jc w:val="center"/>
        <w:rPr>
          <w:b/>
        </w:rPr>
      </w:pPr>
    </w:p>
    <w:p w:rsidR="0092565E" w:rsidRPr="002617F5" w:rsidRDefault="0092565E" w:rsidP="0092565E">
      <w:pPr>
        <w:jc w:val="center"/>
        <w:rPr>
          <w:b/>
        </w:rPr>
      </w:pPr>
    </w:p>
    <w:p w:rsidR="0092565E" w:rsidRPr="002617F5" w:rsidRDefault="0092565E" w:rsidP="0092565E">
      <w:pPr>
        <w:jc w:val="center"/>
        <w:rPr>
          <w:b/>
        </w:rPr>
      </w:pPr>
    </w:p>
    <w:p w:rsidR="0092565E" w:rsidRPr="002617F5" w:rsidRDefault="009E2B9C" w:rsidP="0092565E">
      <w:pPr>
        <w:jc w:val="center"/>
        <w:rPr>
          <w:b/>
        </w:rPr>
      </w:pPr>
      <w:r w:rsidRPr="009E2B9C">
        <w:rPr>
          <w:b/>
          <w:noProof/>
          <w:lang w:eastAsia="zh-TW"/>
        </w:rPr>
        <w:pict>
          <v:shapetype id="_x0000_t202" coordsize="21600,21600" o:spt="202" path="m,l,21600r21600,l21600,xe">
            <v:stroke joinstyle="miter"/>
            <v:path gradientshapeok="t" o:connecttype="rect"/>
          </v:shapetype>
          <v:shape id="_x0000_s1037" type="#_x0000_t202" style="position:absolute;left:0;text-align:left;margin-left:75.25pt;margin-top:.65pt;width:73.95pt;height:82.5pt;z-index:251658240;mso-position-horizontal-relative:page;mso-position-vertical-relative:page;mso-width-relative:margin;v-text-anchor:middle" o:allowincell="f" filled="f" strokecolor="#622423" strokeweight="6pt">
            <v:stroke linestyle="thickThin"/>
            <v:textbox style="mso-next-textbox:#_x0000_s1037" inset="10.8pt,7.2pt,10.8pt,7.2pt">
              <w:txbxContent>
                <w:p w:rsidR="004F0D2B" w:rsidRPr="00931189" w:rsidRDefault="004F0D2B">
                  <w:pPr>
                    <w:spacing w:line="360" w:lineRule="auto"/>
                    <w:jc w:val="center"/>
                    <w:rPr>
                      <w:rFonts w:ascii="Cambria" w:hAnsi="Cambria"/>
                      <w:i/>
                      <w:iCs/>
                      <w:sz w:val="28"/>
                      <w:szCs w:val="28"/>
                    </w:rPr>
                  </w:pPr>
                </w:p>
                <w:p w:rsidR="004F0D2B" w:rsidRPr="00931189" w:rsidRDefault="004F0D2B">
                  <w:pPr>
                    <w:spacing w:line="360" w:lineRule="auto"/>
                    <w:jc w:val="center"/>
                    <w:rPr>
                      <w:rFonts w:ascii="Cambria" w:hAnsi="Cambria"/>
                      <w:i/>
                      <w:iCs/>
                      <w:sz w:val="28"/>
                      <w:szCs w:val="28"/>
                    </w:rPr>
                  </w:pPr>
                  <w:r w:rsidRPr="00931189">
                    <w:rPr>
                      <w:rFonts w:ascii="Cambria" w:hAnsi="Cambria"/>
                      <w:i/>
                      <w:iCs/>
                      <w:sz w:val="28"/>
                      <w:szCs w:val="28"/>
                    </w:rPr>
                    <w:t>FORUM</w:t>
                  </w:r>
                </w:p>
              </w:txbxContent>
            </v:textbox>
            <w10:wrap type="square" anchorx="page" anchory="page"/>
          </v:shape>
        </w:pict>
      </w:r>
      <w:r w:rsidR="002C7718" w:rsidRPr="002617F5">
        <w:rPr>
          <w:b/>
        </w:rPr>
        <w:t>SOCIAL CONCERNS ON HIGHER EDUCATI</w:t>
      </w:r>
      <w:r w:rsidR="00110A44" w:rsidRPr="002617F5">
        <w:rPr>
          <w:b/>
        </w:rPr>
        <w:t xml:space="preserve">ON REFORMS DURING </w:t>
      </w:r>
    </w:p>
    <w:p w:rsidR="002C7718" w:rsidRPr="002617F5" w:rsidRDefault="00110A44" w:rsidP="0092565E">
      <w:pPr>
        <w:jc w:val="center"/>
        <w:rPr>
          <w:b/>
        </w:rPr>
      </w:pPr>
      <w:r w:rsidRPr="002617F5">
        <w:rPr>
          <w:b/>
        </w:rPr>
        <w:t>2002 -2012</w:t>
      </w:r>
      <w:r w:rsidR="002C7718" w:rsidRPr="002617F5">
        <w:rPr>
          <w:b/>
        </w:rPr>
        <w:t xml:space="preserve"> IN PAKISTAN: A CRITICAL PERSPECTIVE</w:t>
      </w:r>
    </w:p>
    <w:p w:rsidR="002C7718" w:rsidRPr="002617F5" w:rsidRDefault="002C7718" w:rsidP="0092565E">
      <w:pPr>
        <w:jc w:val="both"/>
      </w:pPr>
    </w:p>
    <w:p w:rsidR="006B6AA2" w:rsidRPr="002617F5" w:rsidRDefault="006B6AA2" w:rsidP="0092565E">
      <w:pPr>
        <w:jc w:val="center"/>
      </w:pPr>
    </w:p>
    <w:p w:rsidR="002C7718" w:rsidRPr="002617F5" w:rsidRDefault="002C7718" w:rsidP="009428C5">
      <w:pPr>
        <w:jc w:val="center"/>
      </w:pPr>
      <w:r w:rsidRPr="002617F5">
        <w:t>Dr</w:t>
      </w:r>
      <w:r w:rsidR="008F210A" w:rsidRPr="002617F5">
        <w:t xml:space="preserve">. </w:t>
      </w:r>
      <w:r w:rsidRPr="002617F5">
        <w:t>Noman Ahmed</w:t>
      </w:r>
      <w:r w:rsidR="005B26E0" w:rsidRPr="002617F5">
        <w:rPr>
          <w:rStyle w:val="FootnoteReference"/>
        </w:rPr>
        <w:footnoteReference w:id="2"/>
      </w:r>
    </w:p>
    <w:p w:rsidR="00184B5B" w:rsidRPr="002617F5" w:rsidRDefault="00184B5B" w:rsidP="0092565E">
      <w:pPr>
        <w:jc w:val="both"/>
      </w:pPr>
    </w:p>
    <w:p w:rsidR="00184B5B" w:rsidRPr="002617F5" w:rsidRDefault="00DD23CA" w:rsidP="0092565E">
      <w:pPr>
        <w:jc w:val="center"/>
        <w:rPr>
          <w:b/>
        </w:rPr>
      </w:pPr>
      <w:r w:rsidRPr="002617F5">
        <w:rPr>
          <w:b/>
        </w:rPr>
        <w:t>PREAMBLE</w:t>
      </w:r>
    </w:p>
    <w:p w:rsidR="00CE3323" w:rsidRPr="002617F5" w:rsidRDefault="00CE3323" w:rsidP="009428C5">
      <w:pPr>
        <w:jc w:val="both"/>
      </w:pPr>
    </w:p>
    <w:p w:rsidR="00A45793" w:rsidRPr="002617F5" w:rsidRDefault="00CE3323" w:rsidP="009428C5">
      <w:pPr>
        <w:jc w:val="both"/>
        <w:rPr>
          <w:i/>
        </w:rPr>
      </w:pPr>
      <w:r w:rsidRPr="002617F5">
        <w:rPr>
          <w:i/>
        </w:rPr>
        <w:t xml:space="preserve">The domain of higher education in Pakistan experienced a drastic change during the past </w:t>
      </w:r>
      <w:r w:rsidR="00110A44" w:rsidRPr="002617F5">
        <w:rPr>
          <w:i/>
        </w:rPr>
        <w:t>ten ye</w:t>
      </w:r>
      <w:r w:rsidRPr="002617F5">
        <w:rPr>
          <w:i/>
        </w:rPr>
        <w:t>ars. This time frame, which coincided with</w:t>
      </w:r>
      <w:r w:rsidR="00110A44" w:rsidRPr="002617F5">
        <w:rPr>
          <w:i/>
        </w:rPr>
        <w:t xml:space="preserve"> two</w:t>
      </w:r>
      <w:r w:rsidRPr="002617F5">
        <w:rPr>
          <w:i/>
        </w:rPr>
        <w:t xml:space="preserve"> regime change</w:t>
      </w:r>
      <w:r w:rsidR="00110A44" w:rsidRPr="002617F5">
        <w:rPr>
          <w:i/>
        </w:rPr>
        <w:t>s</w:t>
      </w:r>
      <w:r w:rsidRPr="002617F5">
        <w:rPr>
          <w:i/>
        </w:rPr>
        <w:t xml:space="preserve"> in the country, is the span where many far reaching changes were brought about in the sector. </w:t>
      </w:r>
      <w:r w:rsidR="00B62852" w:rsidRPr="002617F5">
        <w:rPr>
          <w:i/>
        </w:rPr>
        <w:t>These</w:t>
      </w:r>
      <w:r w:rsidR="00513BA3" w:rsidRPr="002617F5">
        <w:rPr>
          <w:i/>
        </w:rPr>
        <w:t xml:space="preserve"> include t</w:t>
      </w:r>
      <w:r w:rsidRPr="002617F5">
        <w:rPr>
          <w:i/>
        </w:rPr>
        <w:t xml:space="preserve">ransformation of the erstwhile University Grants Commission </w:t>
      </w:r>
      <w:r w:rsidR="00184B5B" w:rsidRPr="002617F5">
        <w:rPr>
          <w:i/>
        </w:rPr>
        <w:t xml:space="preserve">(UGC) </w:t>
      </w:r>
      <w:r w:rsidRPr="002617F5">
        <w:rPr>
          <w:i/>
        </w:rPr>
        <w:t>into Higher Education Commission</w:t>
      </w:r>
      <w:r w:rsidR="00184B5B" w:rsidRPr="002617F5">
        <w:rPr>
          <w:i/>
        </w:rPr>
        <w:t xml:space="preserve"> (HEC)</w:t>
      </w:r>
      <w:r w:rsidRPr="002617F5">
        <w:rPr>
          <w:i/>
        </w:rPr>
        <w:t>, drastic expansion in the funding opportunities, development of infrastructure, creation of new universities, facilitation of the private sector in the realm of higher education, induction of foreign faculty on a rigorous basis, emphasis on research</w:t>
      </w:r>
      <w:r w:rsidR="00A45793" w:rsidRPr="002617F5">
        <w:rPr>
          <w:i/>
        </w:rPr>
        <w:t xml:space="preserve"> and scaling it through peer reviewed papers</w:t>
      </w:r>
      <w:r w:rsidRPr="002617F5">
        <w:rPr>
          <w:i/>
        </w:rPr>
        <w:t>, shoring of local doctoral programmes, scholarship schemes</w:t>
      </w:r>
      <w:r w:rsidR="00A45793" w:rsidRPr="002617F5">
        <w:rPr>
          <w:i/>
        </w:rPr>
        <w:t xml:space="preserve"> initiation of university rankings</w:t>
      </w:r>
      <w:r w:rsidRPr="002617F5">
        <w:rPr>
          <w:i/>
        </w:rPr>
        <w:t xml:space="preserve">, tenure based hiring options and many more. In general perspective, the moves and actions of the management of Higher Education Commission – the key institution responsible for these spread out tasks – were viewed with appreciation. As the challenges were daunting, the tally of tasks also continued to multiply. However, the </w:t>
      </w:r>
      <w:r w:rsidR="00A45793" w:rsidRPr="002617F5">
        <w:rPr>
          <w:i/>
        </w:rPr>
        <w:t xml:space="preserve">policies </w:t>
      </w:r>
      <w:r w:rsidRPr="002617F5">
        <w:rPr>
          <w:i/>
        </w:rPr>
        <w:t xml:space="preserve">and actions of HEC received criticisms on several counts. </w:t>
      </w:r>
    </w:p>
    <w:p w:rsidR="00A45793" w:rsidRPr="002617F5" w:rsidRDefault="00A45793" w:rsidP="009428C5">
      <w:pPr>
        <w:jc w:val="both"/>
      </w:pPr>
    </w:p>
    <w:p w:rsidR="00CE3323" w:rsidRPr="002617F5" w:rsidRDefault="00CE3323" w:rsidP="009428C5">
      <w:pPr>
        <w:jc w:val="both"/>
        <w:rPr>
          <w:i/>
        </w:rPr>
      </w:pPr>
      <w:r w:rsidRPr="002617F5">
        <w:rPr>
          <w:i/>
        </w:rPr>
        <w:t>This paper aims at outlining the social concerns that have been repeatedly cited in discussions and debates on this subject. Taking an objective approach, the paper begins by reviewing the evolution of the reform. It expands into social concerns including accessibility to various sections of the society into higher education sector, distributive justice, relationship with the elementary and higher secondary school education, geographical distribution of universities and related variables.  Methodology of this work comprises review of official policy documents, personal interviews with key informants and literature references that appeared in the press. Based on the analysis, conclusions and recommendations are also presented in the paper.</w:t>
      </w:r>
    </w:p>
    <w:p w:rsidR="00CE3323" w:rsidRPr="002617F5" w:rsidRDefault="00CE3323" w:rsidP="009428C5">
      <w:pPr>
        <w:jc w:val="both"/>
      </w:pPr>
    </w:p>
    <w:p w:rsidR="0092565E" w:rsidRPr="002617F5" w:rsidRDefault="0092565E" w:rsidP="009428C5">
      <w:pPr>
        <w:jc w:val="both"/>
      </w:pPr>
    </w:p>
    <w:p w:rsidR="002C7718" w:rsidRPr="002617F5" w:rsidRDefault="002C7718" w:rsidP="0092565E">
      <w:pPr>
        <w:spacing w:line="360" w:lineRule="auto"/>
        <w:jc w:val="both"/>
        <w:rPr>
          <w:b/>
        </w:rPr>
      </w:pPr>
      <w:r w:rsidRPr="002617F5">
        <w:rPr>
          <w:b/>
        </w:rPr>
        <w:t xml:space="preserve">INTRODUCTION AND BACKGROUND </w:t>
      </w:r>
    </w:p>
    <w:p w:rsidR="002C7718" w:rsidRPr="002617F5" w:rsidRDefault="002C7718" w:rsidP="00843964">
      <w:pPr>
        <w:jc w:val="both"/>
      </w:pPr>
      <w:r w:rsidRPr="002617F5">
        <w:t>According to official definition, ‘higher education in P</w:t>
      </w:r>
      <w:r w:rsidR="00931189" w:rsidRPr="002617F5">
        <w:t>akistan refers to all levels of</w:t>
      </w:r>
      <w:r w:rsidRPr="002617F5">
        <w:t xml:space="preserve">education above grade 12. It normally corresponds to the age bracket of 17 to 23 years’ [GoP, (2002) p.9]. The Musharraf </w:t>
      </w:r>
      <w:r w:rsidR="00A809F7" w:rsidRPr="002617F5">
        <w:t>regime</w:t>
      </w:r>
      <w:r w:rsidRPr="002617F5">
        <w:t xml:space="preserve"> which took over the reins of the government in 1999, laid high emphasis on the reform of higher education. There were many reasons behind this policy and implementation initiative. Pakistani youth was viewed by many as a potential human resource by the fundamentalist elements for incorporation into their </w:t>
      </w:r>
      <w:r w:rsidR="00E57F27" w:rsidRPr="002617F5">
        <w:t>ranks through</w:t>
      </w:r>
      <w:r w:rsidR="003137E1" w:rsidRPr="002617F5">
        <w:t xml:space="preserve"> the conduit of orthodox seminaries and clandestine organizations of dubious credentials</w:t>
      </w:r>
      <w:r w:rsidRPr="002617F5">
        <w:t xml:space="preserve">. An effective higher education sector was considered as the counter alternative to attract the highly energetic but seemingly </w:t>
      </w:r>
      <w:r w:rsidRPr="002617F5">
        <w:lastRenderedPageBreak/>
        <w:t>di</w:t>
      </w:r>
      <w:r w:rsidR="002617F5" w:rsidRPr="002617F5">
        <w:t>soriented</w:t>
      </w:r>
      <w:r w:rsidRPr="002617F5">
        <w:t xml:space="preserve"> youth into what was tagged as modern education opportunities. The structure of </w:t>
      </w:r>
      <w:r w:rsidR="00A809F7" w:rsidRPr="002617F5">
        <w:t>higher</w:t>
      </w:r>
      <w:r w:rsidRPr="002617F5">
        <w:t xml:space="preserve"> education was in place for more than five decades without any administrative or academic </w:t>
      </w:r>
      <w:r w:rsidR="00EB2333" w:rsidRPr="002617F5">
        <w:t>overhaul</w:t>
      </w:r>
      <w:r w:rsidRPr="002617F5">
        <w:t>. Even the creation of erstwhile University Grants Commission in 1974 did not prove to be compatible to the emerging needs for different trajectories in higher education. The 1998 Population Census and subsequent demographic studies informed about the massive increase in the numerical count of youth. Thus investment in higher education became a corresponding need. The enrolment capacity of the existing institutions in public and private sectors was found inadequate, more due to inappropriate facilities, hardware, faculty and staff deficiencies as well as basic numbers (see Table-01).</w:t>
      </w:r>
    </w:p>
    <w:p w:rsidR="002C7718" w:rsidRPr="002617F5" w:rsidRDefault="002C7718" w:rsidP="009428C5">
      <w:pPr>
        <w:ind w:left="720" w:hanging="720"/>
        <w:jc w:val="both"/>
      </w:pPr>
    </w:p>
    <w:p w:rsidR="0092565E" w:rsidRPr="002617F5" w:rsidRDefault="0092565E" w:rsidP="009428C5">
      <w:pPr>
        <w:ind w:left="720" w:hanging="720"/>
        <w:jc w:val="both"/>
      </w:pPr>
    </w:p>
    <w:p w:rsidR="00163C98" w:rsidRPr="002617F5" w:rsidRDefault="003F4F6D" w:rsidP="00783465">
      <w:pPr>
        <w:spacing w:line="360" w:lineRule="auto"/>
        <w:ind w:left="720" w:hanging="720"/>
        <w:rPr>
          <w:b/>
          <w:sz w:val="20"/>
          <w:szCs w:val="20"/>
        </w:rPr>
      </w:pPr>
      <w:r w:rsidRPr="002617F5">
        <w:rPr>
          <w:b/>
          <w:sz w:val="20"/>
          <w:szCs w:val="20"/>
        </w:rPr>
        <w:t>T</w:t>
      </w:r>
      <w:r w:rsidR="00843964" w:rsidRPr="002617F5">
        <w:rPr>
          <w:b/>
          <w:sz w:val="20"/>
          <w:szCs w:val="20"/>
        </w:rPr>
        <w:t xml:space="preserve">able </w:t>
      </w:r>
      <w:r w:rsidRPr="002617F5">
        <w:rPr>
          <w:b/>
          <w:sz w:val="20"/>
          <w:szCs w:val="20"/>
        </w:rPr>
        <w:t>1</w:t>
      </w:r>
      <w:r w:rsidR="00783465" w:rsidRPr="002617F5">
        <w:rPr>
          <w:b/>
          <w:sz w:val="20"/>
          <w:szCs w:val="20"/>
        </w:rPr>
        <w:t xml:space="preserve">: </w:t>
      </w:r>
      <w:r w:rsidRPr="002617F5">
        <w:rPr>
          <w:b/>
          <w:sz w:val="20"/>
          <w:szCs w:val="20"/>
        </w:rPr>
        <w:t>Categories and distribution of universitiesand other degree awarding institutions</w:t>
      </w:r>
    </w:p>
    <w:tbl>
      <w:tblPr>
        <w:tblW w:w="8847" w:type="dxa"/>
        <w:jc w:val="center"/>
        <w:tblCellMar>
          <w:left w:w="58" w:type="dxa"/>
          <w:right w:w="58" w:type="dxa"/>
        </w:tblCellMar>
        <w:tblLook w:val="01E0"/>
      </w:tblPr>
      <w:tblGrid>
        <w:gridCol w:w="1363"/>
        <w:gridCol w:w="822"/>
        <w:gridCol w:w="992"/>
        <w:gridCol w:w="1276"/>
        <w:gridCol w:w="1275"/>
        <w:gridCol w:w="993"/>
        <w:gridCol w:w="1327"/>
        <w:gridCol w:w="799"/>
      </w:tblGrid>
      <w:tr w:rsidR="00163C98" w:rsidRPr="002617F5" w:rsidTr="0092565E">
        <w:trPr>
          <w:jc w:val="center"/>
        </w:trPr>
        <w:tc>
          <w:tcPr>
            <w:tcW w:w="1363" w:type="dxa"/>
            <w:tcBorders>
              <w:top w:val="single" w:sz="4" w:space="0" w:color="auto"/>
              <w:bottom w:val="single" w:sz="4" w:space="0" w:color="auto"/>
            </w:tcBorders>
            <w:shd w:val="clear" w:color="auto" w:fill="auto"/>
            <w:vAlign w:val="center"/>
          </w:tcPr>
          <w:p w:rsidR="00163C98" w:rsidRPr="002617F5" w:rsidRDefault="00163C98" w:rsidP="00783465">
            <w:pPr>
              <w:jc w:val="center"/>
              <w:rPr>
                <w:b/>
                <w:sz w:val="20"/>
                <w:szCs w:val="20"/>
              </w:rPr>
            </w:pPr>
            <w:r w:rsidRPr="002617F5">
              <w:rPr>
                <w:b/>
                <w:sz w:val="20"/>
                <w:szCs w:val="20"/>
              </w:rPr>
              <w:t>Area</w:t>
            </w:r>
          </w:p>
        </w:tc>
        <w:tc>
          <w:tcPr>
            <w:tcW w:w="822" w:type="dxa"/>
            <w:tcBorders>
              <w:top w:val="single" w:sz="4" w:space="0" w:color="auto"/>
              <w:bottom w:val="single" w:sz="4" w:space="0" w:color="auto"/>
            </w:tcBorders>
            <w:shd w:val="clear" w:color="auto" w:fill="auto"/>
            <w:vAlign w:val="center"/>
          </w:tcPr>
          <w:p w:rsidR="00163C98" w:rsidRPr="002617F5" w:rsidRDefault="00163C98" w:rsidP="00783465">
            <w:pPr>
              <w:jc w:val="center"/>
              <w:rPr>
                <w:b/>
                <w:sz w:val="20"/>
                <w:szCs w:val="20"/>
              </w:rPr>
            </w:pPr>
            <w:r w:rsidRPr="002617F5">
              <w:rPr>
                <w:b/>
                <w:sz w:val="20"/>
                <w:szCs w:val="20"/>
              </w:rPr>
              <w:t>Sector</w:t>
            </w:r>
          </w:p>
        </w:tc>
        <w:tc>
          <w:tcPr>
            <w:tcW w:w="992" w:type="dxa"/>
            <w:tcBorders>
              <w:top w:val="single" w:sz="4" w:space="0" w:color="auto"/>
              <w:bottom w:val="single" w:sz="4" w:space="0" w:color="auto"/>
            </w:tcBorders>
            <w:shd w:val="clear" w:color="auto" w:fill="auto"/>
            <w:vAlign w:val="center"/>
          </w:tcPr>
          <w:p w:rsidR="00163C98" w:rsidRPr="002617F5" w:rsidRDefault="00163C98" w:rsidP="00783465">
            <w:pPr>
              <w:jc w:val="center"/>
              <w:rPr>
                <w:b/>
                <w:sz w:val="20"/>
                <w:szCs w:val="20"/>
              </w:rPr>
            </w:pPr>
            <w:r w:rsidRPr="002617F5">
              <w:rPr>
                <w:b/>
                <w:sz w:val="20"/>
                <w:szCs w:val="20"/>
              </w:rPr>
              <w:t>General*</w:t>
            </w:r>
          </w:p>
        </w:tc>
        <w:tc>
          <w:tcPr>
            <w:tcW w:w="1276" w:type="dxa"/>
            <w:tcBorders>
              <w:top w:val="single" w:sz="4" w:space="0" w:color="auto"/>
              <w:bottom w:val="single" w:sz="4" w:space="0" w:color="auto"/>
            </w:tcBorders>
            <w:shd w:val="clear" w:color="auto" w:fill="auto"/>
            <w:vAlign w:val="center"/>
          </w:tcPr>
          <w:p w:rsidR="00163C98" w:rsidRPr="002617F5" w:rsidRDefault="00163C98" w:rsidP="00783465">
            <w:pPr>
              <w:jc w:val="center"/>
              <w:rPr>
                <w:b/>
                <w:sz w:val="20"/>
                <w:szCs w:val="20"/>
              </w:rPr>
            </w:pPr>
            <w:r w:rsidRPr="002617F5">
              <w:rPr>
                <w:b/>
                <w:sz w:val="20"/>
                <w:szCs w:val="20"/>
              </w:rPr>
              <w:t>Agriculture</w:t>
            </w:r>
          </w:p>
        </w:tc>
        <w:tc>
          <w:tcPr>
            <w:tcW w:w="1275" w:type="dxa"/>
            <w:tcBorders>
              <w:top w:val="single" w:sz="4" w:space="0" w:color="auto"/>
              <w:bottom w:val="single" w:sz="4" w:space="0" w:color="auto"/>
            </w:tcBorders>
            <w:shd w:val="clear" w:color="auto" w:fill="auto"/>
            <w:vAlign w:val="center"/>
          </w:tcPr>
          <w:p w:rsidR="00163C98" w:rsidRPr="002617F5" w:rsidRDefault="00163C98" w:rsidP="00783465">
            <w:pPr>
              <w:jc w:val="center"/>
              <w:rPr>
                <w:b/>
                <w:sz w:val="20"/>
                <w:szCs w:val="20"/>
              </w:rPr>
            </w:pPr>
            <w:r w:rsidRPr="002617F5">
              <w:rPr>
                <w:b/>
                <w:sz w:val="20"/>
                <w:szCs w:val="20"/>
              </w:rPr>
              <w:t>Engineering</w:t>
            </w:r>
          </w:p>
        </w:tc>
        <w:tc>
          <w:tcPr>
            <w:tcW w:w="993" w:type="dxa"/>
            <w:tcBorders>
              <w:top w:val="single" w:sz="4" w:space="0" w:color="auto"/>
              <w:bottom w:val="single" w:sz="4" w:space="0" w:color="auto"/>
            </w:tcBorders>
            <w:shd w:val="clear" w:color="auto" w:fill="auto"/>
            <w:vAlign w:val="center"/>
          </w:tcPr>
          <w:p w:rsidR="00163C98" w:rsidRPr="002617F5" w:rsidRDefault="00163C98" w:rsidP="00783465">
            <w:pPr>
              <w:jc w:val="center"/>
              <w:rPr>
                <w:b/>
                <w:sz w:val="20"/>
                <w:szCs w:val="20"/>
              </w:rPr>
            </w:pPr>
            <w:r w:rsidRPr="002617F5">
              <w:rPr>
                <w:b/>
                <w:sz w:val="20"/>
                <w:szCs w:val="20"/>
              </w:rPr>
              <w:t>Medicine</w:t>
            </w:r>
          </w:p>
        </w:tc>
        <w:tc>
          <w:tcPr>
            <w:tcW w:w="1327" w:type="dxa"/>
            <w:tcBorders>
              <w:top w:val="single" w:sz="4" w:space="0" w:color="auto"/>
              <w:bottom w:val="single" w:sz="4" w:space="0" w:color="auto"/>
            </w:tcBorders>
            <w:shd w:val="clear" w:color="auto" w:fill="auto"/>
            <w:vAlign w:val="center"/>
          </w:tcPr>
          <w:p w:rsidR="00163C98" w:rsidRPr="002617F5" w:rsidRDefault="00163C98" w:rsidP="00783465">
            <w:pPr>
              <w:jc w:val="center"/>
              <w:rPr>
                <w:b/>
                <w:sz w:val="20"/>
                <w:szCs w:val="20"/>
              </w:rPr>
            </w:pPr>
            <w:r w:rsidRPr="002617F5">
              <w:rPr>
                <w:b/>
                <w:sz w:val="20"/>
                <w:szCs w:val="20"/>
              </w:rPr>
              <w:t>Degree Awarding Institution**</w:t>
            </w:r>
          </w:p>
        </w:tc>
        <w:tc>
          <w:tcPr>
            <w:tcW w:w="799" w:type="dxa"/>
            <w:tcBorders>
              <w:top w:val="single" w:sz="4" w:space="0" w:color="auto"/>
              <w:bottom w:val="single" w:sz="4" w:space="0" w:color="auto"/>
            </w:tcBorders>
            <w:shd w:val="clear" w:color="auto" w:fill="auto"/>
            <w:vAlign w:val="center"/>
          </w:tcPr>
          <w:p w:rsidR="00163C98" w:rsidRPr="002617F5" w:rsidRDefault="00163C98" w:rsidP="00783465">
            <w:pPr>
              <w:jc w:val="center"/>
              <w:rPr>
                <w:b/>
                <w:sz w:val="20"/>
                <w:szCs w:val="20"/>
              </w:rPr>
            </w:pPr>
            <w:r w:rsidRPr="002617F5">
              <w:rPr>
                <w:b/>
                <w:sz w:val="20"/>
                <w:szCs w:val="20"/>
              </w:rPr>
              <w:t>Total</w:t>
            </w:r>
          </w:p>
        </w:tc>
      </w:tr>
      <w:tr w:rsidR="00163C98" w:rsidRPr="002617F5" w:rsidTr="0092565E">
        <w:trPr>
          <w:jc w:val="center"/>
        </w:trPr>
        <w:tc>
          <w:tcPr>
            <w:tcW w:w="1363" w:type="dxa"/>
            <w:tcBorders>
              <w:top w:val="single" w:sz="4" w:space="0" w:color="auto"/>
              <w:bottom w:val="single" w:sz="4" w:space="0" w:color="auto"/>
            </w:tcBorders>
            <w:shd w:val="clear" w:color="auto" w:fill="auto"/>
            <w:vAlign w:val="center"/>
          </w:tcPr>
          <w:p w:rsidR="00163C98" w:rsidRPr="002617F5" w:rsidRDefault="00163C98" w:rsidP="00783465">
            <w:pPr>
              <w:rPr>
                <w:sz w:val="20"/>
                <w:szCs w:val="20"/>
              </w:rPr>
            </w:pPr>
            <w:r w:rsidRPr="002617F5">
              <w:rPr>
                <w:sz w:val="20"/>
                <w:szCs w:val="20"/>
              </w:rPr>
              <w:t xml:space="preserve">Azad Jamu and </w:t>
            </w:r>
            <w:r w:rsidR="007552F3" w:rsidRPr="002617F5">
              <w:rPr>
                <w:sz w:val="20"/>
                <w:szCs w:val="20"/>
              </w:rPr>
              <w:t>Kashmir</w:t>
            </w:r>
          </w:p>
        </w:tc>
        <w:tc>
          <w:tcPr>
            <w:tcW w:w="822" w:type="dxa"/>
            <w:tcBorders>
              <w:top w:val="single" w:sz="4" w:space="0" w:color="auto"/>
              <w:bottom w:val="single" w:sz="4" w:space="0" w:color="auto"/>
            </w:tcBorders>
            <w:shd w:val="clear" w:color="auto" w:fill="auto"/>
            <w:vAlign w:val="center"/>
          </w:tcPr>
          <w:p w:rsidR="00163C98" w:rsidRPr="002617F5" w:rsidRDefault="00163C98" w:rsidP="00783465">
            <w:pPr>
              <w:rPr>
                <w:sz w:val="20"/>
                <w:szCs w:val="20"/>
              </w:rPr>
            </w:pPr>
            <w:r w:rsidRPr="002617F5">
              <w:rPr>
                <w:sz w:val="20"/>
                <w:szCs w:val="20"/>
              </w:rPr>
              <w:t>Public Private</w:t>
            </w:r>
          </w:p>
        </w:tc>
        <w:tc>
          <w:tcPr>
            <w:tcW w:w="992" w:type="dxa"/>
            <w:tcBorders>
              <w:top w:val="single" w:sz="4" w:space="0" w:color="auto"/>
              <w:bottom w:val="single" w:sz="4" w:space="0" w:color="auto"/>
            </w:tcBorders>
            <w:shd w:val="clear" w:color="auto" w:fill="auto"/>
            <w:vAlign w:val="center"/>
          </w:tcPr>
          <w:p w:rsidR="00163C98" w:rsidRPr="002617F5" w:rsidRDefault="00163C98" w:rsidP="00783465">
            <w:pPr>
              <w:jc w:val="center"/>
              <w:rPr>
                <w:sz w:val="20"/>
                <w:szCs w:val="20"/>
              </w:rPr>
            </w:pPr>
            <w:r w:rsidRPr="002617F5">
              <w:rPr>
                <w:sz w:val="20"/>
                <w:szCs w:val="20"/>
              </w:rPr>
              <w:t>1</w:t>
            </w:r>
          </w:p>
          <w:p w:rsidR="00163C98" w:rsidRPr="002617F5" w:rsidRDefault="00163C98" w:rsidP="00783465">
            <w:pPr>
              <w:jc w:val="center"/>
              <w:rPr>
                <w:sz w:val="20"/>
                <w:szCs w:val="20"/>
              </w:rPr>
            </w:pPr>
            <w:r w:rsidRPr="002617F5">
              <w:rPr>
                <w:sz w:val="20"/>
                <w:szCs w:val="20"/>
              </w:rPr>
              <w:t>2</w:t>
            </w:r>
          </w:p>
        </w:tc>
        <w:tc>
          <w:tcPr>
            <w:tcW w:w="1276" w:type="dxa"/>
            <w:tcBorders>
              <w:top w:val="single" w:sz="4" w:space="0" w:color="auto"/>
              <w:bottom w:val="single" w:sz="4" w:space="0" w:color="auto"/>
            </w:tcBorders>
            <w:shd w:val="clear" w:color="auto" w:fill="auto"/>
            <w:vAlign w:val="center"/>
          </w:tcPr>
          <w:p w:rsidR="00163C98" w:rsidRPr="002617F5" w:rsidRDefault="00163C98" w:rsidP="00783465">
            <w:pPr>
              <w:jc w:val="center"/>
              <w:rPr>
                <w:sz w:val="20"/>
                <w:szCs w:val="20"/>
              </w:rPr>
            </w:pPr>
            <w:r w:rsidRPr="002617F5">
              <w:rPr>
                <w:sz w:val="20"/>
                <w:szCs w:val="20"/>
              </w:rPr>
              <w:t>-</w:t>
            </w:r>
          </w:p>
          <w:p w:rsidR="00163C98" w:rsidRPr="002617F5" w:rsidRDefault="00163C98" w:rsidP="00783465">
            <w:pPr>
              <w:jc w:val="center"/>
              <w:rPr>
                <w:sz w:val="20"/>
                <w:szCs w:val="20"/>
              </w:rPr>
            </w:pPr>
            <w:r w:rsidRPr="002617F5">
              <w:rPr>
                <w:sz w:val="20"/>
                <w:szCs w:val="20"/>
              </w:rPr>
              <w:t>-</w:t>
            </w:r>
          </w:p>
        </w:tc>
        <w:tc>
          <w:tcPr>
            <w:tcW w:w="1275" w:type="dxa"/>
            <w:tcBorders>
              <w:top w:val="single" w:sz="4" w:space="0" w:color="auto"/>
              <w:bottom w:val="single" w:sz="4" w:space="0" w:color="auto"/>
            </w:tcBorders>
            <w:shd w:val="clear" w:color="auto" w:fill="auto"/>
            <w:vAlign w:val="center"/>
          </w:tcPr>
          <w:p w:rsidR="00163C98" w:rsidRPr="002617F5" w:rsidRDefault="00163C98" w:rsidP="00783465">
            <w:pPr>
              <w:jc w:val="center"/>
              <w:rPr>
                <w:sz w:val="20"/>
                <w:szCs w:val="20"/>
              </w:rPr>
            </w:pPr>
            <w:r w:rsidRPr="002617F5">
              <w:rPr>
                <w:sz w:val="20"/>
                <w:szCs w:val="20"/>
              </w:rPr>
              <w:t>-</w:t>
            </w:r>
          </w:p>
          <w:p w:rsidR="00163C98" w:rsidRPr="002617F5" w:rsidRDefault="00163C98" w:rsidP="00783465">
            <w:pPr>
              <w:jc w:val="center"/>
              <w:rPr>
                <w:sz w:val="20"/>
                <w:szCs w:val="20"/>
              </w:rPr>
            </w:pPr>
            <w:r w:rsidRPr="002617F5">
              <w:rPr>
                <w:sz w:val="20"/>
                <w:szCs w:val="20"/>
              </w:rPr>
              <w:t>-</w:t>
            </w:r>
          </w:p>
        </w:tc>
        <w:tc>
          <w:tcPr>
            <w:tcW w:w="993" w:type="dxa"/>
            <w:tcBorders>
              <w:top w:val="single" w:sz="4" w:space="0" w:color="auto"/>
              <w:bottom w:val="single" w:sz="4" w:space="0" w:color="auto"/>
            </w:tcBorders>
            <w:shd w:val="clear" w:color="auto" w:fill="auto"/>
            <w:vAlign w:val="center"/>
          </w:tcPr>
          <w:p w:rsidR="00163C98" w:rsidRPr="002617F5" w:rsidRDefault="00163C98" w:rsidP="00783465">
            <w:pPr>
              <w:jc w:val="center"/>
              <w:rPr>
                <w:sz w:val="20"/>
                <w:szCs w:val="20"/>
              </w:rPr>
            </w:pPr>
            <w:r w:rsidRPr="002617F5">
              <w:rPr>
                <w:sz w:val="20"/>
                <w:szCs w:val="20"/>
              </w:rPr>
              <w:t>-</w:t>
            </w:r>
          </w:p>
          <w:p w:rsidR="00163C98" w:rsidRPr="002617F5" w:rsidRDefault="00163C98" w:rsidP="00783465">
            <w:pPr>
              <w:jc w:val="center"/>
              <w:rPr>
                <w:sz w:val="20"/>
                <w:szCs w:val="20"/>
              </w:rPr>
            </w:pPr>
            <w:r w:rsidRPr="002617F5">
              <w:rPr>
                <w:sz w:val="20"/>
                <w:szCs w:val="20"/>
              </w:rPr>
              <w:t>-</w:t>
            </w:r>
          </w:p>
        </w:tc>
        <w:tc>
          <w:tcPr>
            <w:tcW w:w="1327" w:type="dxa"/>
            <w:tcBorders>
              <w:top w:val="single" w:sz="4" w:space="0" w:color="auto"/>
              <w:bottom w:val="single" w:sz="4" w:space="0" w:color="auto"/>
            </w:tcBorders>
            <w:shd w:val="clear" w:color="auto" w:fill="auto"/>
            <w:vAlign w:val="center"/>
          </w:tcPr>
          <w:p w:rsidR="00163C98" w:rsidRPr="002617F5" w:rsidRDefault="00163C98" w:rsidP="00783465">
            <w:pPr>
              <w:jc w:val="center"/>
              <w:rPr>
                <w:sz w:val="20"/>
                <w:szCs w:val="20"/>
              </w:rPr>
            </w:pPr>
            <w:r w:rsidRPr="002617F5">
              <w:rPr>
                <w:sz w:val="20"/>
                <w:szCs w:val="20"/>
              </w:rPr>
              <w:t>-</w:t>
            </w:r>
          </w:p>
          <w:p w:rsidR="00163C98" w:rsidRPr="002617F5" w:rsidRDefault="00163C98" w:rsidP="00783465">
            <w:pPr>
              <w:jc w:val="center"/>
              <w:rPr>
                <w:sz w:val="20"/>
                <w:szCs w:val="20"/>
              </w:rPr>
            </w:pPr>
            <w:r w:rsidRPr="002617F5">
              <w:rPr>
                <w:sz w:val="20"/>
                <w:szCs w:val="20"/>
              </w:rPr>
              <w:t>-</w:t>
            </w:r>
          </w:p>
        </w:tc>
        <w:tc>
          <w:tcPr>
            <w:tcW w:w="799" w:type="dxa"/>
            <w:tcBorders>
              <w:top w:val="single" w:sz="4" w:space="0" w:color="auto"/>
              <w:bottom w:val="single" w:sz="4" w:space="0" w:color="auto"/>
            </w:tcBorders>
            <w:shd w:val="clear" w:color="auto" w:fill="auto"/>
            <w:vAlign w:val="center"/>
          </w:tcPr>
          <w:p w:rsidR="00163C98" w:rsidRPr="002617F5" w:rsidRDefault="00163C98" w:rsidP="00783465">
            <w:pPr>
              <w:jc w:val="center"/>
              <w:rPr>
                <w:b/>
                <w:bCs/>
                <w:sz w:val="20"/>
                <w:szCs w:val="20"/>
              </w:rPr>
            </w:pPr>
            <w:r w:rsidRPr="002617F5">
              <w:rPr>
                <w:b/>
                <w:bCs/>
                <w:sz w:val="20"/>
                <w:szCs w:val="20"/>
              </w:rPr>
              <w:t>1</w:t>
            </w:r>
          </w:p>
          <w:p w:rsidR="00163C98" w:rsidRPr="002617F5" w:rsidRDefault="00163C98" w:rsidP="00783465">
            <w:pPr>
              <w:jc w:val="center"/>
              <w:rPr>
                <w:b/>
                <w:bCs/>
                <w:sz w:val="20"/>
                <w:szCs w:val="20"/>
              </w:rPr>
            </w:pPr>
            <w:r w:rsidRPr="002617F5">
              <w:rPr>
                <w:b/>
                <w:bCs/>
                <w:sz w:val="20"/>
                <w:szCs w:val="20"/>
              </w:rPr>
              <w:t>2</w:t>
            </w:r>
          </w:p>
        </w:tc>
      </w:tr>
      <w:tr w:rsidR="00163C98" w:rsidRPr="002617F5" w:rsidTr="0092565E">
        <w:trPr>
          <w:jc w:val="center"/>
        </w:trPr>
        <w:tc>
          <w:tcPr>
            <w:tcW w:w="1363" w:type="dxa"/>
            <w:tcBorders>
              <w:top w:val="single" w:sz="4" w:space="0" w:color="auto"/>
              <w:bottom w:val="single" w:sz="4" w:space="0" w:color="auto"/>
            </w:tcBorders>
            <w:shd w:val="clear" w:color="auto" w:fill="auto"/>
            <w:vAlign w:val="center"/>
          </w:tcPr>
          <w:p w:rsidR="00163C98" w:rsidRPr="002617F5" w:rsidRDefault="007552F3" w:rsidP="00783465">
            <w:pPr>
              <w:rPr>
                <w:sz w:val="20"/>
                <w:szCs w:val="20"/>
              </w:rPr>
            </w:pPr>
            <w:r w:rsidRPr="002617F5">
              <w:rPr>
                <w:sz w:val="20"/>
                <w:szCs w:val="20"/>
              </w:rPr>
              <w:t>Baluchistan</w:t>
            </w:r>
          </w:p>
        </w:tc>
        <w:tc>
          <w:tcPr>
            <w:tcW w:w="822" w:type="dxa"/>
            <w:tcBorders>
              <w:top w:val="single" w:sz="4" w:space="0" w:color="auto"/>
              <w:bottom w:val="single" w:sz="4" w:space="0" w:color="auto"/>
            </w:tcBorders>
            <w:shd w:val="clear" w:color="auto" w:fill="auto"/>
            <w:vAlign w:val="center"/>
          </w:tcPr>
          <w:p w:rsidR="00163C98" w:rsidRPr="002617F5" w:rsidRDefault="00163C98" w:rsidP="00783465">
            <w:pPr>
              <w:rPr>
                <w:sz w:val="20"/>
                <w:szCs w:val="20"/>
              </w:rPr>
            </w:pPr>
            <w:r w:rsidRPr="002617F5">
              <w:rPr>
                <w:sz w:val="20"/>
                <w:szCs w:val="20"/>
              </w:rPr>
              <w:t>Public Private</w:t>
            </w:r>
          </w:p>
        </w:tc>
        <w:tc>
          <w:tcPr>
            <w:tcW w:w="992" w:type="dxa"/>
            <w:tcBorders>
              <w:top w:val="single" w:sz="4" w:space="0" w:color="auto"/>
              <w:bottom w:val="single" w:sz="4" w:space="0" w:color="auto"/>
            </w:tcBorders>
            <w:shd w:val="clear" w:color="auto" w:fill="auto"/>
            <w:vAlign w:val="center"/>
          </w:tcPr>
          <w:p w:rsidR="00163C98" w:rsidRPr="002617F5" w:rsidRDefault="00163C98" w:rsidP="00783465">
            <w:pPr>
              <w:jc w:val="center"/>
              <w:rPr>
                <w:sz w:val="20"/>
                <w:szCs w:val="20"/>
              </w:rPr>
            </w:pPr>
            <w:r w:rsidRPr="002617F5">
              <w:rPr>
                <w:sz w:val="20"/>
                <w:szCs w:val="20"/>
              </w:rPr>
              <w:t>1</w:t>
            </w:r>
          </w:p>
          <w:p w:rsidR="00163C98" w:rsidRPr="002617F5" w:rsidRDefault="00163C98" w:rsidP="00783465">
            <w:pPr>
              <w:jc w:val="center"/>
              <w:rPr>
                <w:sz w:val="20"/>
                <w:szCs w:val="20"/>
              </w:rPr>
            </w:pPr>
            <w:r w:rsidRPr="002617F5">
              <w:rPr>
                <w:sz w:val="20"/>
                <w:szCs w:val="20"/>
              </w:rPr>
              <w:t>-</w:t>
            </w:r>
          </w:p>
        </w:tc>
        <w:tc>
          <w:tcPr>
            <w:tcW w:w="1276" w:type="dxa"/>
            <w:tcBorders>
              <w:top w:val="single" w:sz="4" w:space="0" w:color="auto"/>
              <w:bottom w:val="single" w:sz="4" w:space="0" w:color="auto"/>
            </w:tcBorders>
            <w:shd w:val="clear" w:color="auto" w:fill="auto"/>
            <w:vAlign w:val="center"/>
          </w:tcPr>
          <w:p w:rsidR="00163C98" w:rsidRPr="002617F5" w:rsidRDefault="00163C98" w:rsidP="00783465">
            <w:pPr>
              <w:jc w:val="center"/>
              <w:rPr>
                <w:sz w:val="20"/>
                <w:szCs w:val="20"/>
              </w:rPr>
            </w:pPr>
            <w:r w:rsidRPr="002617F5">
              <w:rPr>
                <w:sz w:val="20"/>
                <w:szCs w:val="20"/>
              </w:rPr>
              <w:t>-</w:t>
            </w:r>
          </w:p>
          <w:p w:rsidR="00163C98" w:rsidRPr="002617F5" w:rsidRDefault="00163C98" w:rsidP="00783465">
            <w:pPr>
              <w:jc w:val="center"/>
              <w:rPr>
                <w:sz w:val="20"/>
                <w:szCs w:val="20"/>
              </w:rPr>
            </w:pPr>
            <w:r w:rsidRPr="002617F5">
              <w:rPr>
                <w:sz w:val="20"/>
                <w:szCs w:val="20"/>
              </w:rPr>
              <w:t>-</w:t>
            </w:r>
          </w:p>
        </w:tc>
        <w:tc>
          <w:tcPr>
            <w:tcW w:w="1275" w:type="dxa"/>
            <w:tcBorders>
              <w:top w:val="single" w:sz="4" w:space="0" w:color="auto"/>
              <w:bottom w:val="single" w:sz="4" w:space="0" w:color="auto"/>
            </w:tcBorders>
            <w:shd w:val="clear" w:color="auto" w:fill="auto"/>
            <w:vAlign w:val="center"/>
          </w:tcPr>
          <w:p w:rsidR="00163C98" w:rsidRPr="002617F5" w:rsidRDefault="00163C98" w:rsidP="00783465">
            <w:pPr>
              <w:jc w:val="center"/>
              <w:rPr>
                <w:sz w:val="20"/>
                <w:szCs w:val="20"/>
              </w:rPr>
            </w:pPr>
            <w:r w:rsidRPr="002617F5">
              <w:rPr>
                <w:sz w:val="20"/>
                <w:szCs w:val="20"/>
              </w:rPr>
              <w:t>1</w:t>
            </w:r>
          </w:p>
          <w:p w:rsidR="00163C98" w:rsidRPr="002617F5" w:rsidRDefault="00163C98" w:rsidP="00783465">
            <w:pPr>
              <w:jc w:val="center"/>
              <w:rPr>
                <w:sz w:val="20"/>
                <w:szCs w:val="20"/>
              </w:rPr>
            </w:pPr>
            <w:r w:rsidRPr="002617F5">
              <w:rPr>
                <w:sz w:val="20"/>
                <w:szCs w:val="20"/>
              </w:rPr>
              <w:t>-</w:t>
            </w:r>
          </w:p>
        </w:tc>
        <w:tc>
          <w:tcPr>
            <w:tcW w:w="993" w:type="dxa"/>
            <w:tcBorders>
              <w:top w:val="single" w:sz="4" w:space="0" w:color="auto"/>
              <w:bottom w:val="single" w:sz="4" w:space="0" w:color="auto"/>
            </w:tcBorders>
            <w:shd w:val="clear" w:color="auto" w:fill="auto"/>
            <w:vAlign w:val="center"/>
          </w:tcPr>
          <w:p w:rsidR="00163C98" w:rsidRPr="002617F5" w:rsidRDefault="00163C98" w:rsidP="00783465">
            <w:pPr>
              <w:jc w:val="center"/>
              <w:rPr>
                <w:sz w:val="20"/>
                <w:szCs w:val="20"/>
              </w:rPr>
            </w:pPr>
            <w:r w:rsidRPr="002617F5">
              <w:rPr>
                <w:sz w:val="20"/>
                <w:szCs w:val="20"/>
              </w:rPr>
              <w:t>-</w:t>
            </w:r>
          </w:p>
          <w:p w:rsidR="00163C98" w:rsidRPr="002617F5" w:rsidRDefault="00163C98" w:rsidP="00783465">
            <w:pPr>
              <w:jc w:val="center"/>
              <w:rPr>
                <w:sz w:val="20"/>
                <w:szCs w:val="20"/>
              </w:rPr>
            </w:pPr>
            <w:r w:rsidRPr="002617F5">
              <w:rPr>
                <w:sz w:val="20"/>
                <w:szCs w:val="20"/>
              </w:rPr>
              <w:t>-</w:t>
            </w:r>
          </w:p>
        </w:tc>
        <w:tc>
          <w:tcPr>
            <w:tcW w:w="1327" w:type="dxa"/>
            <w:tcBorders>
              <w:top w:val="single" w:sz="4" w:space="0" w:color="auto"/>
              <w:bottom w:val="single" w:sz="4" w:space="0" w:color="auto"/>
            </w:tcBorders>
            <w:shd w:val="clear" w:color="auto" w:fill="auto"/>
            <w:vAlign w:val="center"/>
          </w:tcPr>
          <w:p w:rsidR="00163C98" w:rsidRPr="002617F5" w:rsidRDefault="00163C98" w:rsidP="00783465">
            <w:pPr>
              <w:jc w:val="center"/>
              <w:rPr>
                <w:sz w:val="20"/>
                <w:szCs w:val="20"/>
              </w:rPr>
            </w:pPr>
            <w:r w:rsidRPr="002617F5">
              <w:rPr>
                <w:sz w:val="20"/>
                <w:szCs w:val="20"/>
              </w:rPr>
              <w:t>-</w:t>
            </w:r>
          </w:p>
          <w:p w:rsidR="00163C98" w:rsidRPr="002617F5" w:rsidRDefault="00163C98" w:rsidP="00783465">
            <w:pPr>
              <w:jc w:val="center"/>
              <w:rPr>
                <w:sz w:val="20"/>
                <w:szCs w:val="20"/>
              </w:rPr>
            </w:pPr>
            <w:r w:rsidRPr="002617F5">
              <w:rPr>
                <w:sz w:val="20"/>
                <w:szCs w:val="20"/>
              </w:rPr>
              <w:t>-</w:t>
            </w:r>
          </w:p>
        </w:tc>
        <w:tc>
          <w:tcPr>
            <w:tcW w:w="799" w:type="dxa"/>
            <w:tcBorders>
              <w:top w:val="single" w:sz="4" w:space="0" w:color="auto"/>
              <w:bottom w:val="single" w:sz="4" w:space="0" w:color="auto"/>
            </w:tcBorders>
            <w:shd w:val="clear" w:color="auto" w:fill="auto"/>
            <w:vAlign w:val="center"/>
          </w:tcPr>
          <w:p w:rsidR="00163C98" w:rsidRPr="002617F5" w:rsidRDefault="00163C98" w:rsidP="00783465">
            <w:pPr>
              <w:jc w:val="center"/>
              <w:rPr>
                <w:b/>
                <w:bCs/>
                <w:sz w:val="20"/>
                <w:szCs w:val="20"/>
              </w:rPr>
            </w:pPr>
            <w:r w:rsidRPr="002617F5">
              <w:rPr>
                <w:b/>
                <w:bCs/>
                <w:sz w:val="20"/>
                <w:szCs w:val="20"/>
              </w:rPr>
              <w:t>2</w:t>
            </w:r>
          </w:p>
          <w:p w:rsidR="00163C98" w:rsidRPr="002617F5" w:rsidRDefault="00163C98" w:rsidP="00783465">
            <w:pPr>
              <w:jc w:val="center"/>
              <w:rPr>
                <w:b/>
                <w:bCs/>
                <w:sz w:val="20"/>
                <w:szCs w:val="20"/>
              </w:rPr>
            </w:pPr>
            <w:r w:rsidRPr="002617F5">
              <w:rPr>
                <w:b/>
                <w:bCs/>
                <w:sz w:val="20"/>
                <w:szCs w:val="20"/>
              </w:rPr>
              <w:t>-</w:t>
            </w:r>
          </w:p>
        </w:tc>
      </w:tr>
      <w:tr w:rsidR="00163C98" w:rsidRPr="002617F5" w:rsidTr="0092565E">
        <w:trPr>
          <w:jc w:val="center"/>
        </w:trPr>
        <w:tc>
          <w:tcPr>
            <w:tcW w:w="1363" w:type="dxa"/>
            <w:tcBorders>
              <w:top w:val="single" w:sz="4" w:space="0" w:color="auto"/>
              <w:bottom w:val="single" w:sz="4" w:space="0" w:color="auto"/>
            </w:tcBorders>
            <w:shd w:val="clear" w:color="auto" w:fill="auto"/>
            <w:vAlign w:val="center"/>
          </w:tcPr>
          <w:p w:rsidR="00163C98" w:rsidRPr="002617F5" w:rsidRDefault="00163C98" w:rsidP="00783465">
            <w:pPr>
              <w:rPr>
                <w:sz w:val="20"/>
                <w:szCs w:val="20"/>
              </w:rPr>
            </w:pPr>
            <w:r w:rsidRPr="002617F5">
              <w:rPr>
                <w:sz w:val="20"/>
                <w:szCs w:val="20"/>
              </w:rPr>
              <w:t>Federal</w:t>
            </w:r>
          </w:p>
          <w:p w:rsidR="00163C98" w:rsidRPr="002617F5" w:rsidRDefault="00163C98" w:rsidP="00783465">
            <w:pPr>
              <w:rPr>
                <w:sz w:val="20"/>
                <w:szCs w:val="20"/>
              </w:rPr>
            </w:pPr>
            <w:r w:rsidRPr="002617F5">
              <w:rPr>
                <w:sz w:val="20"/>
                <w:szCs w:val="20"/>
              </w:rPr>
              <w:t>Territory</w:t>
            </w:r>
          </w:p>
        </w:tc>
        <w:tc>
          <w:tcPr>
            <w:tcW w:w="822" w:type="dxa"/>
            <w:tcBorders>
              <w:top w:val="single" w:sz="4" w:space="0" w:color="auto"/>
              <w:bottom w:val="single" w:sz="4" w:space="0" w:color="auto"/>
            </w:tcBorders>
            <w:shd w:val="clear" w:color="auto" w:fill="auto"/>
            <w:vAlign w:val="center"/>
          </w:tcPr>
          <w:p w:rsidR="00163C98" w:rsidRPr="002617F5" w:rsidRDefault="00163C98" w:rsidP="00783465">
            <w:pPr>
              <w:rPr>
                <w:sz w:val="20"/>
                <w:szCs w:val="20"/>
              </w:rPr>
            </w:pPr>
            <w:r w:rsidRPr="002617F5">
              <w:rPr>
                <w:sz w:val="20"/>
                <w:szCs w:val="20"/>
              </w:rPr>
              <w:t>Public Private</w:t>
            </w:r>
          </w:p>
        </w:tc>
        <w:tc>
          <w:tcPr>
            <w:tcW w:w="992" w:type="dxa"/>
            <w:tcBorders>
              <w:top w:val="single" w:sz="4" w:space="0" w:color="auto"/>
              <w:bottom w:val="single" w:sz="4" w:space="0" w:color="auto"/>
            </w:tcBorders>
            <w:shd w:val="clear" w:color="auto" w:fill="auto"/>
            <w:vAlign w:val="center"/>
          </w:tcPr>
          <w:p w:rsidR="00163C98" w:rsidRPr="002617F5" w:rsidRDefault="00163C98" w:rsidP="00783465">
            <w:pPr>
              <w:jc w:val="center"/>
              <w:rPr>
                <w:sz w:val="20"/>
                <w:szCs w:val="20"/>
              </w:rPr>
            </w:pPr>
            <w:r w:rsidRPr="002617F5">
              <w:rPr>
                <w:sz w:val="20"/>
                <w:szCs w:val="20"/>
              </w:rPr>
              <w:t>6</w:t>
            </w:r>
          </w:p>
          <w:p w:rsidR="00163C98" w:rsidRPr="002617F5" w:rsidRDefault="00163C98" w:rsidP="00783465">
            <w:pPr>
              <w:jc w:val="center"/>
              <w:rPr>
                <w:sz w:val="20"/>
                <w:szCs w:val="20"/>
              </w:rPr>
            </w:pPr>
            <w:r w:rsidRPr="002617F5">
              <w:rPr>
                <w:sz w:val="20"/>
                <w:szCs w:val="20"/>
              </w:rPr>
              <w:t>1</w:t>
            </w:r>
          </w:p>
        </w:tc>
        <w:tc>
          <w:tcPr>
            <w:tcW w:w="1276" w:type="dxa"/>
            <w:tcBorders>
              <w:top w:val="single" w:sz="4" w:space="0" w:color="auto"/>
              <w:bottom w:val="single" w:sz="4" w:space="0" w:color="auto"/>
            </w:tcBorders>
            <w:shd w:val="clear" w:color="auto" w:fill="auto"/>
            <w:vAlign w:val="center"/>
          </w:tcPr>
          <w:p w:rsidR="00163C98" w:rsidRPr="002617F5" w:rsidRDefault="00163C98" w:rsidP="00783465">
            <w:pPr>
              <w:jc w:val="center"/>
              <w:rPr>
                <w:sz w:val="20"/>
                <w:szCs w:val="20"/>
              </w:rPr>
            </w:pPr>
            <w:r w:rsidRPr="002617F5">
              <w:rPr>
                <w:sz w:val="20"/>
                <w:szCs w:val="20"/>
              </w:rPr>
              <w:t>-</w:t>
            </w:r>
          </w:p>
          <w:p w:rsidR="00163C98" w:rsidRPr="002617F5" w:rsidRDefault="00163C98" w:rsidP="00783465">
            <w:pPr>
              <w:jc w:val="center"/>
              <w:rPr>
                <w:sz w:val="20"/>
                <w:szCs w:val="20"/>
              </w:rPr>
            </w:pPr>
            <w:r w:rsidRPr="002617F5">
              <w:rPr>
                <w:sz w:val="20"/>
                <w:szCs w:val="20"/>
              </w:rPr>
              <w:t>-</w:t>
            </w:r>
          </w:p>
        </w:tc>
        <w:tc>
          <w:tcPr>
            <w:tcW w:w="1275" w:type="dxa"/>
            <w:tcBorders>
              <w:top w:val="single" w:sz="4" w:space="0" w:color="auto"/>
              <w:bottom w:val="single" w:sz="4" w:space="0" w:color="auto"/>
            </w:tcBorders>
            <w:shd w:val="clear" w:color="auto" w:fill="auto"/>
            <w:vAlign w:val="center"/>
          </w:tcPr>
          <w:p w:rsidR="00163C98" w:rsidRPr="002617F5" w:rsidRDefault="00163C98" w:rsidP="00783465">
            <w:pPr>
              <w:jc w:val="center"/>
              <w:rPr>
                <w:sz w:val="20"/>
                <w:szCs w:val="20"/>
              </w:rPr>
            </w:pPr>
            <w:r w:rsidRPr="002617F5">
              <w:rPr>
                <w:sz w:val="20"/>
                <w:szCs w:val="20"/>
              </w:rPr>
              <w:t>-</w:t>
            </w:r>
          </w:p>
          <w:p w:rsidR="00163C98" w:rsidRPr="002617F5" w:rsidRDefault="00163C98" w:rsidP="00783465">
            <w:pPr>
              <w:jc w:val="center"/>
              <w:rPr>
                <w:sz w:val="20"/>
                <w:szCs w:val="20"/>
              </w:rPr>
            </w:pPr>
            <w:r w:rsidRPr="002617F5">
              <w:rPr>
                <w:sz w:val="20"/>
                <w:szCs w:val="20"/>
              </w:rPr>
              <w:t>-</w:t>
            </w:r>
          </w:p>
        </w:tc>
        <w:tc>
          <w:tcPr>
            <w:tcW w:w="993" w:type="dxa"/>
            <w:tcBorders>
              <w:top w:val="single" w:sz="4" w:space="0" w:color="auto"/>
              <w:bottom w:val="single" w:sz="4" w:space="0" w:color="auto"/>
            </w:tcBorders>
            <w:shd w:val="clear" w:color="auto" w:fill="auto"/>
            <w:vAlign w:val="center"/>
          </w:tcPr>
          <w:p w:rsidR="00163C98" w:rsidRPr="002617F5" w:rsidRDefault="00163C98" w:rsidP="00783465">
            <w:pPr>
              <w:jc w:val="center"/>
              <w:rPr>
                <w:sz w:val="20"/>
                <w:szCs w:val="20"/>
              </w:rPr>
            </w:pPr>
            <w:r w:rsidRPr="002617F5">
              <w:rPr>
                <w:sz w:val="20"/>
                <w:szCs w:val="20"/>
              </w:rPr>
              <w:t>-</w:t>
            </w:r>
          </w:p>
          <w:p w:rsidR="00163C98" w:rsidRPr="002617F5" w:rsidRDefault="00163C98" w:rsidP="00783465">
            <w:pPr>
              <w:jc w:val="center"/>
              <w:rPr>
                <w:sz w:val="20"/>
                <w:szCs w:val="20"/>
              </w:rPr>
            </w:pPr>
            <w:r w:rsidRPr="002617F5">
              <w:rPr>
                <w:sz w:val="20"/>
                <w:szCs w:val="20"/>
              </w:rPr>
              <w:t>-</w:t>
            </w:r>
          </w:p>
        </w:tc>
        <w:tc>
          <w:tcPr>
            <w:tcW w:w="1327" w:type="dxa"/>
            <w:tcBorders>
              <w:top w:val="single" w:sz="4" w:space="0" w:color="auto"/>
              <w:bottom w:val="single" w:sz="4" w:space="0" w:color="auto"/>
            </w:tcBorders>
            <w:shd w:val="clear" w:color="auto" w:fill="auto"/>
            <w:vAlign w:val="center"/>
          </w:tcPr>
          <w:p w:rsidR="00163C98" w:rsidRPr="002617F5" w:rsidRDefault="00163C98" w:rsidP="00783465">
            <w:pPr>
              <w:jc w:val="center"/>
              <w:rPr>
                <w:sz w:val="20"/>
                <w:szCs w:val="20"/>
              </w:rPr>
            </w:pPr>
            <w:r w:rsidRPr="002617F5">
              <w:rPr>
                <w:sz w:val="20"/>
                <w:szCs w:val="20"/>
              </w:rPr>
              <w:t>2</w:t>
            </w:r>
          </w:p>
          <w:p w:rsidR="00163C98" w:rsidRPr="002617F5" w:rsidRDefault="00163C98" w:rsidP="00783465">
            <w:pPr>
              <w:jc w:val="center"/>
              <w:rPr>
                <w:sz w:val="20"/>
                <w:szCs w:val="20"/>
              </w:rPr>
            </w:pPr>
            <w:r w:rsidRPr="002617F5">
              <w:rPr>
                <w:sz w:val="20"/>
                <w:szCs w:val="20"/>
              </w:rPr>
              <w:t>-</w:t>
            </w:r>
          </w:p>
        </w:tc>
        <w:tc>
          <w:tcPr>
            <w:tcW w:w="799" w:type="dxa"/>
            <w:tcBorders>
              <w:top w:val="single" w:sz="4" w:space="0" w:color="auto"/>
              <w:bottom w:val="single" w:sz="4" w:space="0" w:color="auto"/>
            </w:tcBorders>
            <w:shd w:val="clear" w:color="auto" w:fill="auto"/>
            <w:vAlign w:val="center"/>
          </w:tcPr>
          <w:p w:rsidR="00163C98" w:rsidRPr="002617F5" w:rsidRDefault="00163C98" w:rsidP="00783465">
            <w:pPr>
              <w:jc w:val="center"/>
              <w:rPr>
                <w:b/>
                <w:bCs/>
                <w:sz w:val="20"/>
                <w:szCs w:val="20"/>
              </w:rPr>
            </w:pPr>
            <w:r w:rsidRPr="002617F5">
              <w:rPr>
                <w:b/>
                <w:bCs/>
                <w:sz w:val="20"/>
                <w:szCs w:val="20"/>
              </w:rPr>
              <w:t>8</w:t>
            </w:r>
          </w:p>
          <w:p w:rsidR="00163C98" w:rsidRPr="002617F5" w:rsidRDefault="00163C98" w:rsidP="00783465">
            <w:pPr>
              <w:jc w:val="center"/>
              <w:rPr>
                <w:b/>
                <w:bCs/>
                <w:sz w:val="20"/>
                <w:szCs w:val="20"/>
              </w:rPr>
            </w:pPr>
            <w:r w:rsidRPr="002617F5">
              <w:rPr>
                <w:b/>
                <w:bCs/>
                <w:sz w:val="20"/>
                <w:szCs w:val="20"/>
              </w:rPr>
              <w:t>1</w:t>
            </w:r>
          </w:p>
        </w:tc>
      </w:tr>
      <w:tr w:rsidR="00163C98" w:rsidRPr="002617F5" w:rsidTr="0092565E">
        <w:trPr>
          <w:jc w:val="center"/>
        </w:trPr>
        <w:tc>
          <w:tcPr>
            <w:tcW w:w="1363" w:type="dxa"/>
            <w:tcBorders>
              <w:top w:val="single" w:sz="4" w:space="0" w:color="auto"/>
              <w:bottom w:val="single" w:sz="4" w:space="0" w:color="auto"/>
            </w:tcBorders>
            <w:shd w:val="clear" w:color="auto" w:fill="auto"/>
            <w:vAlign w:val="center"/>
          </w:tcPr>
          <w:p w:rsidR="00163C98" w:rsidRPr="002617F5" w:rsidRDefault="00163C98" w:rsidP="00783465">
            <w:pPr>
              <w:rPr>
                <w:sz w:val="20"/>
                <w:szCs w:val="20"/>
              </w:rPr>
            </w:pPr>
            <w:r w:rsidRPr="002617F5">
              <w:rPr>
                <w:sz w:val="20"/>
                <w:szCs w:val="20"/>
              </w:rPr>
              <w:t>NWFP</w:t>
            </w:r>
          </w:p>
        </w:tc>
        <w:tc>
          <w:tcPr>
            <w:tcW w:w="822" w:type="dxa"/>
            <w:tcBorders>
              <w:top w:val="single" w:sz="4" w:space="0" w:color="auto"/>
              <w:bottom w:val="single" w:sz="4" w:space="0" w:color="auto"/>
            </w:tcBorders>
            <w:shd w:val="clear" w:color="auto" w:fill="auto"/>
            <w:vAlign w:val="center"/>
          </w:tcPr>
          <w:p w:rsidR="00163C98" w:rsidRPr="002617F5" w:rsidRDefault="00163C98" w:rsidP="00783465">
            <w:pPr>
              <w:rPr>
                <w:sz w:val="20"/>
                <w:szCs w:val="20"/>
              </w:rPr>
            </w:pPr>
            <w:r w:rsidRPr="002617F5">
              <w:rPr>
                <w:sz w:val="20"/>
                <w:szCs w:val="20"/>
              </w:rPr>
              <w:t>Public Private</w:t>
            </w:r>
          </w:p>
        </w:tc>
        <w:tc>
          <w:tcPr>
            <w:tcW w:w="992" w:type="dxa"/>
            <w:tcBorders>
              <w:top w:val="single" w:sz="4" w:space="0" w:color="auto"/>
              <w:bottom w:val="single" w:sz="4" w:space="0" w:color="auto"/>
            </w:tcBorders>
            <w:shd w:val="clear" w:color="auto" w:fill="auto"/>
            <w:vAlign w:val="center"/>
          </w:tcPr>
          <w:p w:rsidR="00163C98" w:rsidRPr="002617F5" w:rsidRDefault="00163C98" w:rsidP="00783465">
            <w:pPr>
              <w:jc w:val="center"/>
              <w:rPr>
                <w:sz w:val="20"/>
                <w:szCs w:val="20"/>
              </w:rPr>
            </w:pPr>
            <w:r w:rsidRPr="002617F5">
              <w:rPr>
                <w:sz w:val="20"/>
                <w:szCs w:val="20"/>
              </w:rPr>
              <w:t>4</w:t>
            </w:r>
          </w:p>
          <w:p w:rsidR="00163C98" w:rsidRPr="002617F5" w:rsidRDefault="00163C98" w:rsidP="00783465">
            <w:pPr>
              <w:jc w:val="center"/>
              <w:rPr>
                <w:sz w:val="20"/>
                <w:szCs w:val="20"/>
              </w:rPr>
            </w:pPr>
            <w:r w:rsidRPr="002617F5">
              <w:rPr>
                <w:sz w:val="20"/>
                <w:szCs w:val="20"/>
              </w:rPr>
              <w:t>4</w:t>
            </w:r>
          </w:p>
        </w:tc>
        <w:tc>
          <w:tcPr>
            <w:tcW w:w="1276" w:type="dxa"/>
            <w:tcBorders>
              <w:top w:val="single" w:sz="4" w:space="0" w:color="auto"/>
              <w:bottom w:val="single" w:sz="4" w:space="0" w:color="auto"/>
            </w:tcBorders>
            <w:shd w:val="clear" w:color="auto" w:fill="auto"/>
            <w:vAlign w:val="center"/>
          </w:tcPr>
          <w:p w:rsidR="00163C98" w:rsidRPr="002617F5" w:rsidRDefault="00163C98" w:rsidP="00783465">
            <w:pPr>
              <w:jc w:val="center"/>
              <w:rPr>
                <w:sz w:val="20"/>
                <w:szCs w:val="20"/>
              </w:rPr>
            </w:pPr>
            <w:r w:rsidRPr="002617F5">
              <w:rPr>
                <w:sz w:val="20"/>
                <w:szCs w:val="20"/>
              </w:rPr>
              <w:t>1</w:t>
            </w:r>
          </w:p>
          <w:p w:rsidR="00163C98" w:rsidRPr="002617F5" w:rsidRDefault="00163C98" w:rsidP="00783465">
            <w:pPr>
              <w:jc w:val="center"/>
              <w:rPr>
                <w:sz w:val="20"/>
                <w:szCs w:val="20"/>
              </w:rPr>
            </w:pPr>
            <w:r w:rsidRPr="002617F5">
              <w:rPr>
                <w:sz w:val="20"/>
                <w:szCs w:val="20"/>
              </w:rPr>
              <w:t>-</w:t>
            </w:r>
          </w:p>
        </w:tc>
        <w:tc>
          <w:tcPr>
            <w:tcW w:w="1275" w:type="dxa"/>
            <w:tcBorders>
              <w:top w:val="single" w:sz="4" w:space="0" w:color="auto"/>
              <w:bottom w:val="single" w:sz="4" w:space="0" w:color="auto"/>
            </w:tcBorders>
            <w:shd w:val="clear" w:color="auto" w:fill="auto"/>
            <w:vAlign w:val="center"/>
          </w:tcPr>
          <w:p w:rsidR="00163C98" w:rsidRPr="002617F5" w:rsidRDefault="00163C98" w:rsidP="00783465">
            <w:pPr>
              <w:jc w:val="center"/>
              <w:rPr>
                <w:sz w:val="20"/>
                <w:szCs w:val="20"/>
              </w:rPr>
            </w:pPr>
            <w:r w:rsidRPr="002617F5">
              <w:rPr>
                <w:sz w:val="20"/>
                <w:szCs w:val="20"/>
              </w:rPr>
              <w:t>1</w:t>
            </w:r>
          </w:p>
          <w:p w:rsidR="00163C98" w:rsidRPr="002617F5" w:rsidRDefault="00163C98" w:rsidP="00783465">
            <w:pPr>
              <w:jc w:val="center"/>
              <w:rPr>
                <w:sz w:val="20"/>
                <w:szCs w:val="20"/>
              </w:rPr>
            </w:pPr>
            <w:r w:rsidRPr="002617F5">
              <w:rPr>
                <w:sz w:val="20"/>
                <w:szCs w:val="20"/>
              </w:rPr>
              <w:t>-</w:t>
            </w:r>
          </w:p>
        </w:tc>
        <w:tc>
          <w:tcPr>
            <w:tcW w:w="993" w:type="dxa"/>
            <w:tcBorders>
              <w:top w:val="single" w:sz="4" w:space="0" w:color="auto"/>
              <w:bottom w:val="single" w:sz="4" w:space="0" w:color="auto"/>
            </w:tcBorders>
            <w:shd w:val="clear" w:color="auto" w:fill="auto"/>
            <w:vAlign w:val="center"/>
          </w:tcPr>
          <w:p w:rsidR="00163C98" w:rsidRPr="002617F5" w:rsidRDefault="00163C98" w:rsidP="00783465">
            <w:pPr>
              <w:jc w:val="center"/>
              <w:rPr>
                <w:sz w:val="20"/>
                <w:szCs w:val="20"/>
              </w:rPr>
            </w:pPr>
            <w:r w:rsidRPr="002617F5">
              <w:rPr>
                <w:sz w:val="20"/>
                <w:szCs w:val="20"/>
              </w:rPr>
              <w:t>-</w:t>
            </w:r>
          </w:p>
          <w:p w:rsidR="00163C98" w:rsidRPr="002617F5" w:rsidRDefault="00163C98" w:rsidP="00783465">
            <w:pPr>
              <w:jc w:val="center"/>
              <w:rPr>
                <w:sz w:val="20"/>
                <w:szCs w:val="20"/>
              </w:rPr>
            </w:pPr>
            <w:r w:rsidRPr="002617F5">
              <w:rPr>
                <w:sz w:val="20"/>
                <w:szCs w:val="20"/>
              </w:rPr>
              <w:t>-</w:t>
            </w:r>
          </w:p>
        </w:tc>
        <w:tc>
          <w:tcPr>
            <w:tcW w:w="1327" w:type="dxa"/>
            <w:tcBorders>
              <w:top w:val="single" w:sz="4" w:space="0" w:color="auto"/>
              <w:bottom w:val="single" w:sz="4" w:space="0" w:color="auto"/>
            </w:tcBorders>
            <w:shd w:val="clear" w:color="auto" w:fill="auto"/>
            <w:vAlign w:val="center"/>
          </w:tcPr>
          <w:p w:rsidR="00163C98" w:rsidRPr="002617F5" w:rsidRDefault="00163C98" w:rsidP="00783465">
            <w:pPr>
              <w:jc w:val="center"/>
              <w:rPr>
                <w:sz w:val="20"/>
                <w:szCs w:val="20"/>
              </w:rPr>
            </w:pPr>
            <w:r w:rsidRPr="002617F5">
              <w:rPr>
                <w:sz w:val="20"/>
                <w:szCs w:val="20"/>
              </w:rPr>
              <w:t>2</w:t>
            </w:r>
          </w:p>
          <w:p w:rsidR="00163C98" w:rsidRPr="002617F5" w:rsidRDefault="00163C98" w:rsidP="00783465">
            <w:pPr>
              <w:jc w:val="center"/>
              <w:rPr>
                <w:sz w:val="20"/>
                <w:szCs w:val="20"/>
              </w:rPr>
            </w:pPr>
            <w:r w:rsidRPr="002617F5">
              <w:rPr>
                <w:sz w:val="20"/>
                <w:szCs w:val="20"/>
              </w:rPr>
              <w:t>1</w:t>
            </w:r>
          </w:p>
        </w:tc>
        <w:tc>
          <w:tcPr>
            <w:tcW w:w="799" w:type="dxa"/>
            <w:tcBorders>
              <w:top w:val="single" w:sz="4" w:space="0" w:color="auto"/>
              <w:bottom w:val="single" w:sz="4" w:space="0" w:color="auto"/>
            </w:tcBorders>
            <w:shd w:val="clear" w:color="auto" w:fill="auto"/>
            <w:vAlign w:val="center"/>
          </w:tcPr>
          <w:p w:rsidR="00163C98" w:rsidRPr="002617F5" w:rsidRDefault="00163C98" w:rsidP="00783465">
            <w:pPr>
              <w:jc w:val="center"/>
              <w:rPr>
                <w:b/>
                <w:bCs/>
                <w:sz w:val="20"/>
                <w:szCs w:val="20"/>
              </w:rPr>
            </w:pPr>
            <w:r w:rsidRPr="002617F5">
              <w:rPr>
                <w:b/>
                <w:bCs/>
                <w:sz w:val="20"/>
                <w:szCs w:val="20"/>
              </w:rPr>
              <w:t>8</w:t>
            </w:r>
          </w:p>
          <w:p w:rsidR="00163C98" w:rsidRPr="002617F5" w:rsidRDefault="00163C98" w:rsidP="00783465">
            <w:pPr>
              <w:jc w:val="center"/>
              <w:rPr>
                <w:b/>
                <w:bCs/>
                <w:sz w:val="20"/>
                <w:szCs w:val="20"/>
              </w:rPr>
            </w:pPr>
            <w:r w:rsidRPr="002617F5">
              <w:rPr>
                <w:b/>
                <w:bCs/>
                <w:sz w:val="20"/>
                <w:szCs w:val="20"/>
              </w:rPr>
              <w:t>5</w:t>
            </w:r>
          </w:p>
        </w:tc>
      </w:tr>
      <w:tr w:rsidR="00163C98" w:rsidRPr="002617F5" w:rsidTr="0092565E">
        <w:trPr>
          <w:jc w:val="center"/>
        </w:trPr>
        <w:tc>
          <w:tcPr>
            <w:tcW w:w="1363" w:type="dxa"/>
            <w:tcBorders>
              <w:top w:val="single" w:sz="4" w:space="0" w:color="auto"/>
              <w:bottom w:val="single" w:sz="4" w:space="0" w:color="auto"/>
            </w:tcBorders>
            <w:shd w:val="clear" w:color="auto" w:fill="auto"/>
            <w:vAlign w:val="center"/>
          </w:tcPr>
          <w:p w:rsidR="00163C98" w:rsidRPr="002617F5" w:rsidRDefault="00163C98" w:rsidP="00783465">
            <w:pPr>
              <w:rPr>
                <w:sz w:val="20"/>
                <w:szCs w:val="20"/>
              </w:rPr>
            </w:pPr>
            <w:r w:rsidRPr="002617F5">
              <w:rPr>
                <w:sz w:val="20"/>
                <w:szCs w:val="20"/>
              </w:rPr>
              <w:t>Punjab</w:t>
            </w:r>
          </w:p>
        </w:tc>
        <w:tc>
          <w:tcPr>
            <w:tcW w:w="822" w:type="dxa"/>
            <w:tcBorders>
              <w:top w:val="single" w:sz="4" w:space="0" w:color="auto"/>
              <w:bottom w:val="single" w:sz="4" w:space="0" w:color="auto"/>
            </w:tcBorders>
            <w:shd w:val="clear" w:color="auto" w:fill="auto"/>
            <w:vAlign w:val="center"/>
          </w:tcPr>
          <w:p w:rsidR="00163C98" w:rsidRPr="002617F5" w:rsidRDefault="00163C98" w:rsidP="00783465">
            <w:pPr>
              <w:rPr>
                <w:sz w:val="20"/>
                <w:szCs w:val="20"/>
              </w:rPr>
            </w:pPr>
            <w:r w:rsidRPr="002617F5">
              <w:rPr>
                <w:sz w:val="20"/>
                <w:szCs w:val="20"/>
              </w:rPr>
              <w:t>Public Private</w:t>
            </w:r>
          </w:p>
        </w:tc>
        <w:tc>
          <w:tcPr>
            <w:tcW w:w="992" w:type="dxa"/>
            <w:tcBorders>
              <w:top w:val="single" w:sz="4" w:space="0" w:color="auto"/>
              <w:bottom w:val="single" w:sz="4" w:space="0" w:color="auto"/>
            </w:tcBorders>
            <w:shd w:val="clear" w:color="auto" w:fill="auto"/>
            <w:vAlign w:val="center"/>
          </w:tcPr>
          <w:p w:rsidR="00163C98" w:rsidRPr="002617F5" w:rsidRDefault="00163C98" w:rsidP="00783465">
            <w:pPr>
              <w:jc w:val="center"/>
              <w:rPr>
                <w:sz w:val="20"/>
                <w:szCs w:val="20"/>
              </w:rPr>
            </w:pPr>
            <w:r w:rsidRPr="002617F5">
              <w:rPr>
                <w:sz w:val="20"/>
                <w:szCs w:val="20"/>
              </w:rPr>
              <w:t>5</w:t>
            </w:r>
          </w:p>
          <w:p w:rsidR="00163C98" w:rsidRPr="002617F5" w:rsidRDefault="00163C98" w:rsidP="00783465">
            <w:pPr>
              <w:jc w:val="center"/>
              <w:rPr>
                <w:sz w:val="20"/>
                <w:szCs w:val="20"/>
              </w:rPr>
            </w:pPr>
            <w:r w:rsidRPr="002617F5">
              <w:rPr>
                <w:sz w:val="20"/>
                <w:szCs w:val="20"/>
              </w:rPr>
              <w:t>1</w:t>
            </w:r>
          </w:p>
        </w:tc>
        <w:tc>
          <w:tcPr>
            <w:tcW w:w="1276" w:type="dxa"/>
            <w:tcBorders>
              <w:top w:val="single" w:sz="4" w:space="0" w:color="auto"/>
              <w:bottom w:val="single" w:sz="4" w:space="0" w:color="auto"/>
            </w:tcBorders>
            <w:shd w:val="clear" w:color="auto" w:fill="auto"/>
            <w:vAlign w:val="center"/>
          </w:tcPr>
          <w:p w:rsidR="00163C98" w:rsidRPr="002617F5" w:rsidRDefault="00163C98" w:rsidP="00783465">
            <w:pPr>
              <w:jc w:val="center"/>
              <w:rPr>
                <w:sz w:val="20"/>
                <w:szCs w:val="20"/>
              </w:rPr>
            </w:pPr>
            <w:r w:rsidRPr="002617F5">
              <w:rPr>
                <w:sz w:val="20"/>
                <w:szCs w:val="20"/>
              </w:rPr>
              <w:t>2</w:t>
            </w:r>
          </w:p>
          <w:p w:rsidR="00163C98" w:rsidRPr="002617F5" w:rsidRDefault="00163C98" w:rsidP="00783465">
            <w:pPr>
              <w:jc w:val="center"/>
              <w:rPr>
                <w:sz w:val="20"/>
                <w:szCs w:val="20"/>
              </w:rPr>
            </w:pPr>
            <w:r w:rsidRPr="002617F5">
              <w:rPr>
                <w:sz w:val="20"/>
                <w:szCs w:val="20"/>
              </w:rPr>
              <w:t>-</w:t>
            </w:r>
          </w:p>
        </w:tc>
        <w:tc>
          <w:tcPr>
            <w:tcW w:w="1275" w:type="dxa"/>
            <w:tcBorders>
              <w:top w:val="single" w:sz="4" w:space="0" w:color="auto"/>
              <w:bottom w:val="single" w:sz="4" w:space="0" w:color="auto"/>
            </w:tcBorders>
            <w:shd w:val="clear" w:color="auto" w:fill="auto"/>
            <w:vAlign w:val="center"/>
          </w:tcPr>
          <w:p w:rsidR="00163C98" w:rsidRPr="002617F5" w:rsidRDefault="00163C98" w:rsidP="00783465">
            <w:pPr>
              <w:jc w:val="center"/>
              <w:rPr>
                <w:sz w:val="20"/>
                <w:szCs w:val="20"/>
              </w:rPr>
            </w:pPr>
            <w:r w:rsidRPr="002617F5">
              <w:rPr>
                <w:sz w:val="20"/>
                <w:szCs w:val="20"/>
              </w:rPr>
              <w:t>2</w:t>
            </w:r>
          </w:p>
          <w:p w:rsidR="00163C98" w:rsidRPr="002617F5" w:rsidRDefault="00163C98" w:rsidP="00783465">
            <w:pPr>
              <w:jc w:val="center"/>
              <w:rPr>
                <w:sz w:val="20"/>
                <w:szCs w:val="20"/>
              </w:rPr>
            </w:pPr>
            <w:r w:rsidRPr="002617F5">
              <w:rPr>
                <w:sz w:val="20"/>
                <w:szCs w:val="20"/>
              </w:rPr>
              <w:t>-</w:t>
            </w:r>
          </w:p>
        </w:tc>
        <w:tc>
          <w:tcPr>
            <w:tcW w:w="993" w:type="dxa"/>
            <w:tcBorders>
              <w:top w:val="single" w:sz="4" w:space="0" w:color="auto"/>
              <w:bottom w:val="single" w:sz="4" w:space="0" w:color="auto"/>
            </w:tcBorders>
            <w:shd w:val="clear" w:color="auto" w:fill="auto"/>
            <w:vAlign w:val="center"/>
          </w:tcPr>
          <w:p w:rsidR="00163C98" w:rsidRPr="002617F5" w:rsidRDefault="00163C98" w:rsidP="00783465">
            <w:pPr>
              <w:jc w:val="center"/>
              <w:rPr>
                <w:sz w:val="20"/>
                <w:szCs w:val="20"/>
              </w:rPr>
            </w:pPr>
            <w:r w:rsidRPr="002617F5">
              <w:rPr>
                <w:sz w:val="20"/>
                <w:szCs w:val="20"/>
              </w:rPr>
              <w:t>-</w:t>
            </w:r>
          </w:p>
          <w:p w:rsidR="00163C98" w:rsidRPr="002617F5" w:rsidRDefault="00163C98" w:rsidP="00783465">
            <w:pPr>
              <w:jc w:val="center"/>
              <w:rPr>
                <w:sz w:val="20"/>
                <w:szCs w:val="20"/>
              </w:rPr>
            </w:pPr>
            <w:r w:rsidRPr="002617F5">
              <w:rPr>
                <w:sz w:val="20"/>
                <w:szCs w:val="20"/>
              </w:rPr>
              <w:t>-</w:t>
            </w:r>
          </w:p>
        </w:tc>
        <w:tc>
          <w:tcPr>
            <w:tcW w:w="1327" w:type="dxa"/>
            <w:tcBorders>
              <w:top w:val="single" w:sz="4" w:space="0" w:color="auto"/>
              <w:bottom w:val="single" w:sz="4" w:space="0" w:color="auto"/>
            </w:tcBorders>
            <w:shd w:val="clear" w:color="auto" w:fill="auto"/>
            <w:vAlign w:val="center"/>
          </w:tcPr>
          <w:p w:rsidR="00163C98" w:rsidRPr="002617F5" w:rsidRDefault="00163C98" w:rsidP="00783465">
            <w:pPr>
              <w:jc w:val="center"/>
              <w:rPr>
                <w:sz w:val="20"/>
                <w:szCs w:val="20"/>
              </w:rPr>
            </w:pPr>
            <w:r w:rsidRPr="002617F5">
              <w:rPr>
                <w:sz w:val="20"/>
                <w:szCs w:val="20"/>
              </w:rPr>
              <w:t>3</w:t>
            </w:r>
          </w:p>
          <w:p w:rsidR="00163C98" w:rsidRPr="002617F5" w:rsidRDefault="00163C98" w:rsidP="00783465">
            <w:pPr>
              <w:jc w:val="center"/>
              <w:rPr>
                <w:sz w:val="20"/>
                <w:szCs w:val="20"/>
              </w:rPr>
            </w:pPr>
            <w:r w:rsidRPr="002617F5">
              <w:rPr>
                <w:sz w:val="20"/>
                <w:szCs w:val="20"/>
              </w:rPr>
              <w:t>1</w:t>
            </w:r>
          </w:p>
        </w:tc>
        <w:tc>
          <w:tcPr>
            <w:tcW w:w="799" w:type="dxa"/>
            <w:tcBorders>
              <w:top w:val="single" w:sz="4" w:space="0" w:color="auto"/>
              <w:bottom w:val="single" w:sz="4" w:space="0" w:color="auto"/>
            </w:tcBorders>
            <w:shd w:val="clear" w:color="auto" w:fill="auto"/>
            <w:vAlign w:val="center"/>
          </w:tcPr>
          <w:p w:rsidR="00163C98" w:rsidRPr="002617F5" w:rsidRDefault="00163C98" w:rsidP="00783465">
            <w:pPr>
              <w:jc w:val="center"/>
              <w:rPr>
                <w:b/>
                <w:bCs/>
                <w:sz w:val="20"/>
                <w:szCs w:val="20"/>
              </w:rPr>
            </w:pPr>
            <w:r w:rsidRPr="002617F5">
              <w:rPr>
                <w:b/>
                <w:bCs/>
                <w:sz w:val="20"/>
                <w:szCs w:val="20"/>
              </w:rPr>
              <w:t>12</w:t>
            </w:r>
          </w:p>
          <w:p w:rsidR="00163C98" w:rsidRPr="002617F5" w:rsidRDefault="00163C98" w:rsidP="00783465">
            <w:pPr>
              <w:jc w:val="center"/>
              <w:rPr>
                <w:b/>
                <w:bCs/>
                <w:sz w:val="20"/>
                <w:szCs w:val="20"/>
              </w:rPr>
            </w:pPr>
            <w:r w:rsidRPr="002617F5">
              <w:rPr>
                <w:b/>
                <w:bCs/>
                <w:sz w:val="20"/>
                <w:szCs w:val="20"/>
              </w:rPr>
              <w:t>2</w:t>
            </w:r>
          </w:p>
        </w:tc>
      </w:tr>
      <w:tr w:rsidR="00163C98" w:rsidRPr="002617F5" w:rsidTr="0092565E">
        <w:trPr>
          <w:jc w:val="center"/>
        </w:trPr>
        <w:tc>
          <w:tcPr>
            <w:tcW w:w="1363" w:type="dxa"/>
            <w:tcBorders>
              <w:top w:val="single" w:sz="4" w:space="0" w:color="auto"/>
              <w:bottom w:val="single" w:sz="4" w:space="0" w:color="auto"/>
            </w:tcBorders>
            <w:shd w:val="clear" w:color="auto" w:fill="auto"/>
            <w:vAlign w:val="center"/>
          </w:tcPr>
          <w:p w:rsidR="00163C98" w:rsidRPr="002617F5" w:rsidRDefault="00163C98" w:rsidP="00783465">
            <w:pPr>
              <w:rPr>
                <w:sz w:val="20"/>
                <w:szCs w:val="20"/>
              </w:rPr>
            </w:pPr>
            <w:r w:rsidRPr="002617F5">
              <w:rPr>
                <w:sz w:val="20"/>
                <w:szCs w:val="20"/>
              </w:rPr>
              <w:t>Sindh</w:t>
            </w:r>
          </w:p>
        </w:tc>
        <w:tc>
          <w:tcPr>
            <w:tcW w:w="822" w:type="dxa"/>
            <w:tcBorders>
              <w:top w:val="single" w:sz="4" w:space="0" w:color="auto"/>
              <w:bottom w:val="single" w:sz="4" w:space="0" w:color="auto"/>
            </w:tcBorders>
            <w:shd w:val="clear" w:color="auto" w:fill="auto"/>
            <w:vAlign w:val="center"/>
          </w:tcPr>
          <w:p w:rsidR="00163C98" w:rsidRPr="002617F5" w:rsidRDefault="00163C98" w:rsidP="00783465">
            <w:pPr>
              <w:rPr>
                <w:sz w:val="20"/>
                <w:szCs w:val="20"/>
              </w:rPr>
            </w:pPr>
            <w:r w:rsidRPr="002617F5">
              <w:rPr>
                <w:sz w:val="20"/>
                <w:szCs w:val="20"/>
              </w:rPr>
              <w:t>Public Private</w:t>
            </w:r>
          </w:p>
        </w:tc>
        <w:tc>
          <w:tcPr>
            <w:tcW w:w="992" w:type="dxa"/>
            <w:tcBorders>
              <w:top w:val="single" w:sz="4" w:space="0" w:color="auto"/>
              <w:bottom w:val="single" w:sz="4" w:space="0" w:color="auto"/>
            </w:tcBorders>
            <w:shd w:val="clear" w:color="auto" w:fill="auto"/>
            <w:vAlign w:val="center"/>
          </w:tcPr>
          <w:p w:rsidR="00163C98" w:rsidRPr="002617F5" w:rsidRDefault="00163C98" w:rsidP="00783465">
            <w:pPr>
              <w:jc w:val="center"/>
              <w:rPr>
                <w:sz w:val="20"/>
                <w:szCs w:val="20"/>
              </w:rPr>
            </w:pPr>
            <w:r w:rsidRPr="002617F5">
              <w:rPr>
                <w:sz w:val="20"/>
                <w:szCs w:val="20"/>
              </w:rPr>
              <w:t>3</w:t>
            </w:r>
          </w:p>
          <w:p w:rsidR="00163C98" w:rsidRPr="002617F5" w:rsidRDefault="00163C98" w:rsidP="00783465">
            <w:pPr>
              <w:jc w:val="center"/>
              <w:rPr>
                <w:sz w:val="20"/>
                <w:szCs w:val="20"/>
              </w:rPr>
            </w:pPr>
            <w:r w:rsidRPr="002617F5">
              <w:rPr>
                <w:sz w:val="20"/>
                <w:szCs w:val="20"/>
              </w:rPr>
              <w:t>7</w:t>
            </w:r>
          </w:p>
        </w:tc>
        <w:tc>
          <w:tcPr>
            <w:tcW w:w="1276" w:type="dxa"/>
            <w:tcBorders>
              <w:top w:val="single" w:sz="4" w:space="0" w:color="auto"/>
              <w:bottom w:val="single" w:sz="4" w:space="0" w:color="auto"/>
            </w:tcBorders>
            <w:shd w:val="clear" w:color="auto" w:fill="auto"/>
            <w:vAlign w:val="center"/>
          </w:tcPr>
          <w:p w:rsidR="00163C98" w:rsidRPr="002617F5" w:rsidRDefault="00163C98" w:rsidP="00783465">
            <w:pPr>
              <w:jc w:val="center"/>
              <w:rPr>
                <w:sz w:val="20"/>
                <w:szCs w:val="20"/>
              </w:rPr>
            </w:pPr>
            <w:r w:rsidRPr="002617F5">
              <w:rPr>
                <w:sz w:val="20"/>
                <w:szCs w:val="20"/>
              </w:rPr>
              <w:t>1</w:t>
            </w:r>
          </w:p>
          <w:p w:rsidR="00163C98" w:rsidRPr="002617F5" w:rsidRDefault="00163C98" w:rsidP="00783465">
            <w:pPr>
              <w:jc w:val="center"/>
              <w:rPr>
                <w:sz w:val="20"/>
                <w:szCs w:val="20"/>
              </w:rPr>
            </w:pPr>
            <w:r w:rsidRPr="002617F5">
              <w:rPr>
                <w:sz w:val="20"/>
                <w:szCs w:val="20"/>
              </w:rPr>
              <w:t>-</w:t>
            </w:r>
          </w:p>
        </w:tc>
        <w:tc>
          <w:tcPr>
            <w:tcW w:w="1275" w:type="dxa"/>
            <w:tcBorders>
              <w:top w:val="single" w:sz="4" w:space="0" w:color="auto"/>
              <w:bottom w:val="single" w:sz="4" w:space="0" w:color="auto"/>
            </w:tcBorders>
            <w:shd w:val="clear" w:color="auto" w:fill="auto"/>
            <w:vAlign w:val="center"/>
          </w:tcPr>
          <w:p w:rsidR="00163C98" w:rsidRPr="002617F5" w:rsidRDefault="00163C98" w:rsidP="00783465">
            <w:pPr>
              <w:jc w:val="center"/>
              <w:rPr>
                <w:sz w:val="20"/>
                <w:szCs w:val="20"/>
              </w:rPr>
            </w:pPr>
            <w:r w:rsidRPr="002617F5">
              <w:rPr>
                <w:sz w:val="20"/>
                <w:szCs w:val="20"/>
              </w:rPr>
              <w:t>3</w:t>
            </w:r>
          </w:p>
          <w:p w:rsidR="00163C98" w:rsidRPr="002617F5" w:rsidRDefault="00163C98" w:rsidP="00783465">
            <w:pPr>
              <w:jc w:val="center"/>
              <w:rPr>
                <w:sz w:val="20"/>
                <w:szCs w:val="20"/>
              </w:rPr>
            </w:pPr>
            <w:r w:rsidRPr="002617F5">
              <w:rPr>
                <w:sz w:val="20"/>
                <w:szCs w:val="20"/>
              </w:rPr>
              <w:t>1</w:t>
            </w:r>
          </w:p>
        </w:tc>
        <w:tc>
          <w:tcPr>
            <w:tcW w:w="993" w:type="dxa"/>
            <w:tcBorders>
              <w:top w:val="single" w:sz="4" w:space="0" w:color="auto"/>
              <w:bottom w:val="single" w:sz="4" w:space="0" w:color="auto"/>
            </w:tcBorders>
            <w:shd w:val="clear" w:color="auto" w:fill="auto"/>
            <w:vAlign w:val="center"/>
          </w:tcPr>
          <w:p w:rsidR="00163C98" w:rsidRPr="002617F5" w:rsidRDefault="00163C98" w:rsidP="00783465">
            <w:pPr>
              <w:jc w:val="center"/>
              <w:rPr>
                <w:sz w:val="20"/>
                <w:szCs w:val="20"/>
              </w:rPr>
            </w:pPr>
            <w:r w:rsidRPr="002617F5">
              <w:rPr>
                <w:sz w:val="20"/>
                <w:szCs w:val="20"/>
              </w:rPr>
              <w:t>1</w:t>
            </w:r>
          </w:p>
          <w:p w:rsidR="00163C98" w:rsidRPr="002617F5" w:rsidRDefault="00163C98" w:rsidP="00783465">
            <w:pPr>
              <w:jc w:val="center"/>
              <w:rPr>
                <w:sz w:val="20"/>
                <w:szCs w:val="20"/>
              </w:rPr>
            </w:pPr>
            <w:r w:rsidRPr="002617F5">
              <w:rPr>
                <w:sz w:val="20"/>
                <w:szCs w:val="20"/>
              </w:rPr>
              <w:t>2</w:t>
            </w:r>
          </w:p>
        </w:tc>
        <w:tc>
          <w:tcPr>
            <w:tcW w:w="1327" w:type="dxa"/>
            <w:tcBorders>
              <w:top w:val="single" w:sz="4" w:space="0" w:color="auto"/>
              <w:bottom w:val="single" w:sz="4" w:space="0" w:color="auto"/>
            </w:tcBorders>
            <w:shd w:val="clear" w:color="auto" w:fill="auto"/>
            <w:vAlign w:val="center"/>
          </w:tcPr>
          <w:p w:rsidR="00163C98" w:rsidRPr="002617F5" w:rsidRDefault="00163C98" w:rsidP="00783465">
            <w:pPr>
              <w:jc w:val="center"/>
              <w:rPr>
                <w:sz w:val="20"/>
                <w:szCs w:val="20"/>
              </w:rPr>
            </w:pPr>
            <w:r w:rsidRPr="002617F5">
              <w:rPr>
                <w:sz w:val="20"/>
                <w:szCs w:val="20"/>
              </w:rPr>
              <w:t>2</w:t>
            </w:r>
          </w:p>
          <w:p w:rsidR="00163C98" w:rsidRPr="002617F5" w:rsidRDefault="00163C98" w:rsidP="00783465">
            <w:pPr>
              <w:jc w:val="center"/>
              <w:rPr>
                <w:sz w:val="20"/>
                <w:szCs w:val="20"/>
              </w:rPr>
            </w:pPr>
            <w:r w:rsidRPr="002617F5">
              <w:rPr>
                <w:sz w:val="20"/>
                <w:szCs w:val="20"/>
              </w:rPr>
              <w:t>7</w:t>
            </w:r>
          </w:p>
        </w:tc>
        <w:tc>
          <w:tcPr>
            <w:tcW w:w="799" w:type="dxa"/>
            <w:tcBorders>
              <w:top w:val="single" w:sz="4" w:space="0" w:color="auto"/>
              <w:bottom w:val="single" w:sz="4" w:space="0" w:color="auto"/>
            </w:tcBorders>
            <w:shd w:val="clear" w:color="auto" w:fill="auto"/>
            <w:vAlign w:val="center"/>
          </w:tcPr>
          <w:p w:rsidR="00163C98" w:rsidRPr="002617F5" w:rsidRDefault="00163C98" w:rsidP="00783465">
            <w:pPr>
              <w:jc w:val="center"/>
              <w:rPr>
                <w:b/>
                <w:bCs/>
                <w:sz w:val="20"/>
                <w:szCs w:val="20"/>
              </w:rPr>
            </w:pPr>
            <w:r w:rsidRPr="002617F5">
              <w:rPr>
                <w:b/>
                <w:bCs/>
                <w:sz w:val="20"/>
                <w:szCs w:val="20"/>
              </w:rPr>
              <w:t>10</w:t>
            </w:r>
          </w:p>
          <w:p w:rsidR="00163C98" w:rsidRPr="002617F5" w:rsidRDefault="00163C98" w:rsidP="00783465">
            <w:pPr>
              <w:jc w:val="center"/>
              <w:rPr>
                <w:b/>
                <w:bCs/>
                <w:sz w:val="20"/>
                <w:szCs w:val="20"/>
              </w:rPr>
            </w:pPr>
            <w:r w:rsidRPr="002617F5">
              <w:rPr>
                <w:b/>
                <w:bCs/>
                <w:sz w:val="20"/>
                <w:szCs w:val="20"/>
              </w:rPr>
              <w:t>17</w:t>
            </w:r>
          </w:p>
        </w:tc>
      </w:tr>
      <w:tr w:rsidR="00163C98" w:rsidRPr="002617F5" w:rsidTr="0092565E">
        <w:trPr>
          <w:jc w:val="center"/>
        </w:trPr>
        <w:tc>
          <w:tcPr>
            <w:tcW w:w="1363" w:type="dxa"/>
            <w:tcBorders>
              <w:top w:val="single" w:sz="4" w:space="0" w:color="auto"/>
              <w:bottom w:val="single" w:sz="4" w:space="0" w:color="auto"/>
            </w:tcBorders>
            <w:shd w:val="clear" w:color="auto" w:fill="auto"/>
            <w:vAlign w:val="center"/>
          </w:tcPr>
          <w:p w:rsidR="00163C98" w:rsidRPr="002617F5" w:rsidRDefault="00163C98" w:rsidP="00783465">
            <w:pPr>
              <w:rPr>
                <w:sz w:val="20"/>
                <w:szCs w:val="20"/>
              </w:rPr>
            </w:pPr>
            <w:r w:rsidRPr="002617F5">
              <w:rPr>
                <w:sz w:val="20"/>
                <w:szCs w:val="20"/>
              </w:rPr>
              <w:t>Sub Total</w:t>
            </w:r>
          </w:p>
        </w:tc>
        <w:tc>
          <w:tcPr>
            <w:tcW w:w="822" w:type="dxa"/>
            <w:tcBorders>
              <w:top w:val="single" w:sz="4" w:space="0" w:color="auto"/>
              <w:bottom w:val="single" w:sz="4" w:space="0" w:color="auto"/>
            </w:tcBorders>
            <w:shd w:val="clear" w:color="auto" w:fill="auto"/>
            <w:vAlign w:val="center"/>
          </w:tcPr>
          <w:p w:rsidR="00163C98" w:rsidRPr="002617F5" w:rsidRDefault="00163C98" w:rsidP="00783465">
            <w:pPr>
              <w:rPr>
                <w:sz w:val="20"/>
                <w:szCs w:val="20"/>
              </w:rPr>
            </w:pPr>
            <w:r w:rsidRPr="002617F5">
              <w:rPr>
                <w:sz w:val="20"/>
                <w:szCs w:val="20"/>
              </w:rPr>
              <w:t>Public Private</w:t>
            </w:r>
          </w:p>
        </w:tc>
        <w:tc>
          <w:tcPr>
            <w:tcW w:w="992" w:type="dxa"/>
            <w:tcBorders>
              <w:top w:val="single" w:sz="4" w:space="0" w:color="auto"/>
              <w:bottom w:val="single" w:sz="4" w:space="0" w:color="auto"/>
            </w:tcBorders>
            <w:shd w:val="clear" w:color="auto" w:fill="auto"/>
            <w:vAlign w:val="center"/>
          </w:tcPr>
          <w:p w:rsidR="00163C98" w:rsidRPr="002617F5" w:rsidRDefault="00163C98" w:rsidP="00783465">
            <w:pPr>
              <w:jc w:val="center"/>
              <w:rPr>
                <w:sz w:val="20"/>
                <w:szCs w:val="20"/>
              </w:rPr>
            </w:pPr>
            <w:r w:rsidRPr="002617F5">
              <w:rPr>
                <w:sz w:val="20"/>
                <w:szCs w:val="20"/>
              </w:rPr>
              <w:t>20</w:t>
            </w:r>
          </w:p>
          <w:p w:rsidR="00163C98" w:rsidRPr="002617F5" w:rsidRDefault="00163C98" w:rsidP="00783465">
            <w:pPr>
              <w:jc w:val="center"/>
              <w:rPr>
                <w:sz w:val="20"/>
                <w:szCs w:val="20"/>
              </w:rPr>
            </w:pPr>
            <w:r w:rsidRPr="002617F5">
              <w:rPr>
                <w:sz w:val="20"/>
                <w:szCs w:val="20"/>
              </w:rPr>
              <w:t>15</w:t>
            </w:r>
          </w:p>
        </w:tc>
        <w:tc>
          <w:tcPr>
            <w:tcW w:w="1276" w:type="dxa"/>
            <w:tcBorders>
              <w:top w:val="single" w:sz="4" w:space="0" w:color="auto"/>
              <w:bottom w:val="single" w:sz="4" w:space="0" w:color="auto"/>
            </w:tcBorders>
            <w:shd w:val="clear" w:color="auto" w:fill="auto"/>
            <w:vAlign w:val="center"/>
          </w:tcPr>
          <w:p w:rsidR="00163C98" w:rsidRPr="002617F5" w:rsidRDefault="00163C98" w:rsidP="00783465">
            <w:pPr>
              <w:jc w:val="center"/>
              <w:rPr>
                <w:sz w:val="20"/>
                <w:szCs w:val="20"/>
              </w:rPr>
            </w:pPr>
            <w:r w:rsidRPr="002617F5">
              <w:rPr>
                <w:sz w:val="20"/>
                <w:szCs w:val="20"/>
              </w:rPr>
              <w:t>4</w:t>
            </w:r>
          </w:p>
          <w:p w:rsidR="00163C98" w:rsidRPr="002617F5" w:rsidRDefault="00163C98" w:rsidP="00783465">
            <w:pPr>
              <w:jc w:val="center"/>
              <w:rPr>
                <w:sz w:val="20"/>
                <w:szCs w:val="20"/>
              </w:rPr>
            </w:pPr>
            <w:r w:rsidRPr="002617F5">
              <w:rPr>
                <w:sz w:val="20"/>
                <w:szCs w:val="20"/>
              </w:rPr>
              <w:t>0</w:t>
            </w:r>
          </w:p>
        </w:tc>
        <w:tc>
          <w:tcPr>
            <w:tcW w:w="1275" w:type="dxa"/>
            <w:tcBorders>
              <w:top w:val="single" w:sz="4" w:space="0" w:color="auto"/>
              <w:bottom w:val="single" w:sz="4" w:space="0" w:color="auto"/>
            </w:tcBorders>
            <w:shd w:val="clear" w:color="auto" w:fill="auto"/>
            <w:vAlign w:val="center"/>
          </w:tcPr>
          <w:p w:rsidR="00163C98" w:rsidRPr="002617F5" w:rsidRDefault="00163C98" w:rsidP="00783465">
            <w:pPr>
              <w:jc w:val="center"/>
              <w:rPr>
                <w:sz w:val="20"/>
                <w:szCs w:val="20"/>
              </w:rPr>
            </w:pPr>
            <w:r w:rsidRPr="002617F5">
              <w:rPr>
                <w:sz w:val="20"/>
                <w:szCs w:val="20"/>
              </w:rPr>
              <w:t>7</w:t>
            </w:r>
          </w:p>
          <w:p w:rsidR="00163C98" w:rsidRPr="002617F5" w:rsidRDefault="00163C98" w:rsidP="00783465">
            <w:pPr>
              <w:jc w:val="center"/>
              <w:rPr>
                <w:sz w:val="20"/>
                <w:szCs w:val="20"/>
              </w:rPr>
            </w:pPr>
            <w:r w:rsidRPr="002617F5">
              <w:rPr>
                <w:sz w:val="20"/>
                <w:szCs w:val="20"/>
              </w:rPr>
              <w:t>1</w:t>
            </w:r>
          </w:p>
        </w:tc>
        <w:tc>
          <w:tcPr>
            <w:tcW w:w="993" w:type="dxa"/>
            <w:tcBorders>
              <w:top w:val="single" w:sz="4" w:space="0" w:color="auto"/>
              <w:bottom w:val="single" w:sz="4" w:space="0" w:color="auto"/>
            </w:tcBorders>
            <w:shd w:val="clear" w:color="auto" w:fill="auto"/>
            <w:vAlign w:val="center"/>
          </w:tcPr>
          <w:p w:rsidR="00163C98" w:rsidRPr="002617F5" w:rsidRDefault="00163C98" w:rsidP="00783465">
            <w:pPr>
              <w:jc w:val="center"/>
              <w:rPr>
                <w:sz w:val="20"/>
                <w:szCs w:val="20"/>
              </w:rPr>
            </w:pPr>
            <w:r w:rsidRPr="002617F5">
              <w:rPr>
                <w:sz w:val="20"/>
                <w:szCs w:val="20"/>
              </w:rPr>
              <w:t>1</w:t>
            </w:r>
          </w:p>
          <w:p w:rsidR="00163C98" w:rsidRPr="002617F5" w:rsidRDefault="00163C98" w:rsidP="00783465">
            <w:pPr>
              <w:jc w:val="center"/>
              <w:rPr>
                <w:sz w:val="20"/>
                <w:szCs w:val="20"/>
              </w:rPr>
            </w:pPr>
            <w:r w:rsidRPr="002617F5">
              <w:rPr>
                <w:sz w:val="20"/>
                <w:szCs w:val="20"/>
              </w:rPr>
              <w:t>2</w:t>
            </w:r>
          </w:p>
        </w:tc>
        <w:tc>
          <w:tcPr>
            <w:tcW w:w="1327" w:type="dxa"/>
            <w:tcBorders>
              <w:top w:val="single" w:sz="4" w:space="0" w:color="auto"/>
              <w:bottom w:val="single" w:sz="4" w:space="0" w:color="auto"/>
            </w:tcBorders>
            <w:shd w:val="clear" w:color="auto" w:fill="auto"/>
            <w:vAlign w:val="center"/>
          </w:tcPr>
          <w:p w:rsidR="00163C98" w:rsidRPr="002617F5" w:rsidRDefault="00163C98" w:rsidP="00783465">
            <w:pPr>
              <w:jc w:val="center"/>
              <w:rPr>
                <w:sz w:val="20"/>
                <w:szCs w:val="20"/>
              </w:rPr>
            </w:pPr>
            <w:r w:rsidRPr="002617F5">
              <w:rPr>
                <w:sz w:val="20"/>
                <w:szCs w:val="20"/>
              </w:rPr>
              <w:t>9</w:t>
            </w:r>
          </w:p>
          <w:p w:rsidR="00163C98" w:rsidRPr="002617F5" w:rsidRDefault="00163C98" w:rsidP="00783465">
            <w:pPr>
              <w:jc w:val="center"/>
              <w:rPr>
                <w:sz w:val="20"/>
                <w:szCs w:val="20"/>
              </w:rPr>
            </w:pPr>
            <w:r w:rsidRPr="002617F5">
              <w:rPr>
                <w:sz w:val="20"/>
                <w:szCs w:val="20"/>
              </w:rPr>
              <w:t>9</w:t>
            </w:r>
          </w:p>
        </w:tc>
        <w:tc>
          <w:tcPr>
            <w:tcW w:w="799" w:type="dxa"/>
            <w:tcBorders>
              <w:top w:val="single" w:sz="4" w:space="0" w:color="auto"/>
              <w:bottom w:val="single" w:sz="4" w:space="0" w:color="auto"/>
            </w:tcBorders>
            <w:shd w:val="clear" w:color="auto" w:fill="auto"/>
            <w:vAlign w:val="center"/>
          </w:tcPr>
          <w:p w:rsidR="00163C98" w:rsidRPr="002617F5" w:rsidRDefault="00163C98" w:rsidP="00783465">
            <w:pPr>
              <w:jc w:val="center"/>
              <w:rPr>
                <w:b/>
                <w:bCs/>
                <w:sz w:val="20"/>
                <w:szCs w:val="20"/>
              </w:rPr>
            </w:pPr>
            <w:r w:rsidRPr="002617F5">
              <w:rPr>
                <w:b/>
                <w:bCs/>
                <w:sz w:val="20"/>
                <w:szCs w:val="20"/>
              </w:rPr>
              <w:t>41</w:t>
            </w:r>
          </w:p>
          <w:p w:rsidR="00163C98" w:rsidRPr="002617F5" w:rsidRDefault="00163C98" w:rsidP="00783465">
            <w:pPr>
              <w:jc w:val="center"/>
              <w:rPr>
                <w:b/>
                <w:bCs/>
                <w:sz w:val="20"/>
                <w:szCs w:val="20"/>
              </w:rPr>
            </w:pPr>
            <w:r w:rsidRPr="002617F5">
              <w:rPr>
                <w:b/>
                <w:bCs/>
                <w:sz w:val="20"/>
                <w:szCs w:val="20"/>
              </w:rPr>
              <w:t>27</w:t>
            </w:r>
          </w:p>
        </w:tc>
      </w:tr>
      <w:tr w:rsidR="00783465" w:rsidRPr="002617F5" w:rsidTr="0092565E">
        <w:trPr>
          <w:jc w:val="center"/>
        </w:trPr>
        <w:tc>
          <w:tcPr>
            <w:tcW w:w="2185" w:type="dxa"/>
            <w:gridSpan w:val="2"/>
            <w:tcBorders>
              <w:top w:val="single" w:sz="4" w:space="0" w:color="auto"/>
              <w:bottom w:val="single" w:sz="4" w:space="0" w:color="auto"/>
            </w:tcBorders>
            <w:shd w:val="clear" w:color="auto" w:fill="auto"/>
            <w:vAlign w:val="center"/>
          </w:tcPr>
          <w:p w:rsidR="00783465" w:rsidRPr="002617F5" w:rsidRDefault="00783465" w:rsidP="00783465">
            <w:pPr>
              <w:jc w:val="center"/>
              <w:rPr>
                <w:b/>
                <w:bCs/>
                <w:sz w:val="20"/>
                <w:szCs w:val="20"/>
              </w:rPr>
            </w:pPr>
            <w:r w:rsidRPr="002617F5">
              <w:rPr>
                <w:b/>
                <w:bCs/>
                <w:sz w:val="20"/>
                <w:szCs w:val="20"/>
              </w:rPr>
              <w:t>Total</w:t>
            </w:r>
          </w:p>
        </w:tc>
        <w:tc>
          <w:tcPr>
            <w:tcW w:w="992" w:type="dxa"/>
            <w:tcBorders>
              <w:top w:val="single" w:sz="4" w:space="0" w:color="auto"/>
              <w:bottom w:val="single" w:sz="4" w:space="0" w:color="auto"/>
            </w:tcBorders>
            <w:shd w:val="clear" w:color="auto" w:fill="auto"/>
            <w:vAlign w:val="center"/>
          </w:tcPr>
          <w:p w:rsidR="00783465" w:rsidRPr="002617F5" w:rsidRDefault="00783465" w:rsidP="00783465">
            <w:pPr>
              <w:jc w:val="center"/>
              <w:rPr>
                <w:b/>
                <w:bCs/>
                <w:sz w:val="20"/>
                <w:szCs w:val="20"/>
              </w:rPr>
            </w:pPr>
            <w:r w:rsidRPr="002617F5">
              <w:rPr>
                <w:b/>
                <w:bCs/>
                <w:sz w:val="20"/>
                <w:szCs w:val="20"/>
              </w:rPr>
              <w:t>35</w:t>
            </w:r>
          </w:p>
        </w:tc>
        <w:tc>
          <w:tcPr>
            <w:tcW w:w="1276" w:type="dxa"/>
            <w:tcBorders>
              <w:top w:val="single" w:sz="4" w:space="0" w:color="auto"/>
              <w:bottom w:val="single" w:sz="4" w:space="0" w:color="auto"/>
            </w:tcBorders>
            <w:shd w:val="clear" w:color="auto" w:fill="auto"/>
            <w:vAlign w:val="center"/>
          </w:tcPr>
          <w:p w:rsidR="00783465" w:rsidRPr="002617F5" w:rsidRDefault="00783465" w:rsidP="00783465">
            <w:pPr>
              <w:jc w:val="center"/>
              <w:rPr>
                <w:b/>
                <w:bCs/>
                <w:sz w:val="20"/>
                <w:szCs w:val="20"/>
              </w:rPr>
            </w:pPr>
            <w:r w:rsidRPr="002617F5">
              <w:rPr>
                <w:b/>
                <w:bCs/>
                <w:sz w:val="20"/>
                <w:szCs w:val="20"/>
              </w:rPr>
              <w:t>4</w:t>
            </w:r>
          </w:p>
        </w:tc>
        <w:tc>
          <w:tcPr>
            <w:tcW w:w="1275" w:type="dxa"/>
            <w:tcBorders>
              <w:top w:val="single" w:sz="4" w:space="0" w:color="auto"/>
              <w:bottom w:val="single" w:sz="4" w:space="0" w:color="auto"/>
            </w:tcBorders>
            <w:shd w:val="clear" w:color="auto" w:fill="auto"/>
            <w:vAlign w:val="center"/>
          </w:tcPr>
          <w:p w:rsidR="00783465" w:rsidRPr="002617F5" w:rsidRDefault="00783465" w:rsidP="00783465">
            <w:pPr>
              <w:jc w:val="center"/>
              <w:rPr>
                <w:b/>
                <w:bCs/>
                <w:sz w:val="20"/>
                <w:szCs w:val="20"/>
              </w:rPr>
            </w:pPr>
            <w:r w:rsidRPr="002617F5">
              <w:rPr>
                <w:b/>
                <w:bCs/>
                <w:sz w:val="20"/>
                <w:szCs w:val="20"/>
              </w:rPr>
              <w:t>8</w:t>
            </w:r>
          </w:p>
        </w:tc>
        <w:tc>
          <w:tcPr>
            <w:tcW w:w="993" w:type="dxa"/>
            <w:tcBorders>
              <w:top w:val="single" w:sz="4" w:space="0" w:color="auto"/>
              <w:bottom w:val="single" w:sz="4" w:space="0" w:color="auto"/>
            </w:tcBorders>
            <w:shd w:val="clear" w:color="auto" w:fill="auto"/>
            <w:vAlign w:val="center"/>
          </w:tcPr>
          <w:p w:rsidR="00783465" w:rsidRPr="002617F5" w:rsidRDefault="00783465" w:rsidP="00783465">
            <w:pPr>
              <w:jc w:val="center"/>
              <w:rPr>
                <w:b/>
                <w:bCs/>
                <w:sz w:val="20"/>
                <w:szCs w:val="20"/>
              </w:rPr>
            </w:pPr>
            <w:r w:rsidRPr="002617F5">
              <w:rPr>
                <w:b/>
                <w:bCs/>
                <w:sz w:val="20"/>
                <w:szCs w:val="20"/>
              </w:rPr>
              <w:t>3</w:t>
            </w:r>
          </w:p>
        </w:tc>
        <w:tc>
          <w:tcPr>
            <w:tcW w:w="1327" w:type="dxa"/>
            <w:tcBorders>
              <w:top w:val="single" w:sz="4" w:space="0" w:color="auto"/>
              <w:bottom w:val="single" w:sz="4" w:space="0" w:color="auto"/>
            </w:tcBorders>
            <w:shd w:val="clear" w:color="auto" w:fill="auto"/>
            <w:vAlign w:val="center"/>
          </w:tcPr>
          <w:p w:rsidR="00783465" w:rsidRPr="002617F5" w:rsidRDefault="00783465" w:rsidP="00783465">
            <w:pPr>
              <w:jc w:val="center"/>
              <w:rPr>
                <w:b/>
                <w:bCs/>
                <w:sz w:val="20"/>
                <w:szCs w:val="20"/>
              </w:rPr>
            </w:pPr>
            <w:r w:rsidRPr="002617F5">
              <w:rPr>
                <w:b/>
                <w:bCs/>
                <w:sz w:val="20"/>
                <w:szCs w:val="20"/>
              </w:rPr>
              <w:t>18</w:t>
            </w:r>
          </w:p>
        </w:tc>
        <w:tc>
          <w:tcPr>
            <w:tcW w:w="799" w:type="dxa"/>
            <w:tcBorders>
              <w:top w:val="single" w:sz="4" w:space="0" w:color="auto"/>
              <w:bottom w:val="single" w:sz="4" w:space="0" w:color="auto"/>
            </w:tcBorders>
            <w:shd w:val="clear" w:color="auto" w:fill="auto"/>
            <w:vAlign w:val="center"/>
          </w:tcPr>
          <w:p w:rsidR="00783465" w:rsidRPr="002617F5" w:rsidRDefault="00783465" w:rsidP="00783465">
            <w:pPr>
              <w:jc w:val="center"/>
              <w:rPr>
                <w:b/>
                <w:bCs/>
                <w:sz w:val="20"/>
                <w:szCs w:val="20"/>
              </w:rPr>
            </w:pPr>
            <w:r w:rsidRPr="002617F5">
              <w:rPr>
                <w:b/>
                <w:bCs/>
                <w:sz w:val="20"/>
                <w:szCs w:val="20"/>
              </w:rPr>
              <w:t>68</w:t>
            </w:r>
          </w:p>
        </w:tc>
      </w:tr>
    </w:tbl>
    <w:p w:rsidR="00783465" w:rsidRPr="002617F5" w:rsidRDefault="00783465" w:rsidP="00163C98">
      <w:pPr>
        <w:ind w:left="720" w:hanging="720"/>
        <w:jc w:val="both"/>
        <w:rPr>
          <w:sz w:val="20"/>
          <w:szCs w:val="20"/>
        </w:rPr>
      </w:pPr>
    </w:p>
    <w:p w:rsidR="00163C98" w:rsidRPr="002617F5" w:rsidRDefault="00163C98" w:rsidP="00163C98">
      <w:pPr>
        <w:ind w:left="720" w:hanging="720"/>
        <w:jc w:val="both"/>
        <w:rPr>
          <w:i/>
          <w:sz w:val="20"/>
          <w:szCs w:val="20"/>
        </w:rPr>
      </w:pPr>
      <w:r w:rsidRPr="002617F5">
        <w:rPr>
          <w:i/>
          <w:sz w:val="20"/>
          <w:szCs w:val="20"/>
        </w:rPr>
        <w:t>* A general university has more than one Faculty</w:t>
      </w:r>
    </w:p>
    <w:p w:rsidR="002C7718" w:rsidRPr="002617F5" w:rsidRDefault="00163C98" w:rsidP="00163C98">
      <w:pPr>
        <w:ind w:left="720" w:hanging="720"/>
        <w:jc w:val="both"/>
        <w:rPr>
          <w:i/>
        </w:rPr>
      </w:pPr>
      <w:r w:rsidRPr="002617F5">
        <w:rPr>
          <w:i/>
          <w:sz w:val="20"/>
          <w:szCs w:val="20"/>
        </w:rPr>
        <w:t>** Degree Awarding Institutes may have more than one Faculty.</w:t>
      </w:r>
    </w:p>
    <w:p w:rsidR="00163C98" w:rsidRPr="002617F5" w:rsidRDefault="00783465" w:rsidP="00783465">
      <w:pPr>
        <w:tabs>
          <w:tab w:val="left" w:pos="2400"/>
        </w:tabs>
        <w:ind w:left="720" w:hanging="720"/>
        <w:jc w:val="both"/>
      </w:pPr>
      <w:r w:rsidRPr="002617F5">
        <w:tab/>
      </w:r>
      <w:r w:rsidRPr="002617F5">
        <w:tab/>
      </w:r>
    </w:p>
    <w:p w:rsidR="002C7718" w:rsidRPr="002617F5" w:rsidRDefault="002C7718" w:rsidP="009428C5">
      <w:pPr>
        <w:ind w:left="720" w:hanging="720"/>
        <w:jc w:val="both"/>
      </w:pPr>
      <w:r w:rsidRPr="002617F5">
        <w:tab/>
        <w:t>The proportionate enrolment in higher education institutions was another major issue. In a country of 120 millio</w:t>
      </w:r>
      <w:r w:rsidR="001164E7" w:rsidRPr="002617F5">
        <w:t>n</w:t>
      </w:r>
      <w:r w:rsidRPr="002617F5">
        <w:t xml:space="preserve"> people, the total full time enrolment was 139,320 (see </w:t>
      </w:r>
      <w:r w:rsidR="00EB2333" w:rsidRPr="002617F5">
        <w:t>T</w:t>
      </w:r>
      <w:r w:rsidRPr="002617F5">
        <w:t>able-</w:t>
      </w:r>
      <w:r w:rsidR="00EB2333" w:rsidRPr="002617F5">
        <w:t>0</w:t>
      </w:r>
      <w:r w:rsidRPr="002617F5">
        <w:t>2). The total funding allocated for higher education was very small in proportion to the needs. For instance, total funding for all the pub</w:t>
      </w:r>
      <w:r w:rsidR="00EB2333" w:rsidRPr="002617F5">
        <w:t>l</w:t>
      </w:r>
      <w:r w:rsidRPr="002617F5">
        <w:t xml:space="preserve">ic sector universities was Rs. 6.5 billion which was less than </w:t>
      </w:r>
      <w:r w:rsidR="00EB2333" w:rsidRPr="002617F5">
        <w:t>one</w:t>
      </w:r>
      <w:r w:rsidRPr="002617F5">
        <w:t xml:space="preserve"> percent of GDP. Universities were facing serious shortage of development funds also. </w:t>
      </w:r>
    </w:p>
    <w:p w:rsidR="002C7718" w:rsidRPr="002617F5" w:rsidRDefault="002C7718" w:rsidP="009428C5">
      <w:pPr>
        <w:jc w:val="both"/>
      </w:pPr>
    </w:p>
    <w:p w:rsidR="003410D2" w:rsidRPr="002617F5" w:rsidRDefault="00D142AE" w:rsidP="0092565E">
      <w:pPr>
        <w:spacing w:line="360" w:lineRule="auto"/>
        <w:rPr>
          <w:b/>
          <w:sz w:val="20"/>
          <w:szCs w:val="20"/>
        </w:rPr>
      </w:pPr>
      <w:r w:rsidRPr="002617F5">
        <w:rPr>
          <w:b/>
          <w:sz w:val="20"/>
          <w:szCs w:val="20"/>
        </w:rPr>
        <w:t>T</w:t>
      </w:r>
      <w:r w:rsidR="003F4F6D" w:rsidRPr="002617F5">
        <w:rPr>
          <w:b/>
          <w:sz w:val="20"/>
          <w:szCs w:val="20"/>
        </w:rPr>
        <w:t>able</w:t>
      </w:r>
      <w:r w:rsidRPr="002617F5">
        <w:rPr>
          <w:b/>
          <w:sz w:val="20"/>
          <w:szCs w:val="20"/>
        </w:rPr>
        <w:t>2</w:t>
      </w:r>
      <w:r w:rsidR="0092565E" w:rsidRPr="002617F5">
        <w:rPr>
          <w:b/>
          <w:sz w:val="20"/>
          <w:szCs w:val="20"/>
        </w:rPr>
        <w:t xml:space="preserve">: </w:t>
      </w:r>
      <w:r w:rsidR="002C7718" w:rsidRPr="002617F5">
        <w:rPr>
          <w:b/>
          <w:sz w:val="20"/>
          <w:szCs w:val="20"/>
        </w:rPr>
        <w:t>E</w:t>
      </w:r>
      <w:r w:rsidR="003F4F6D" w:rsidRPr="002617F5">
        <w:rPr>
          <w:b/>
          <w:sz w:val="20"/>
          <w:szCs w:val="20"/>
        </w:rPr>
        <w:t xml:space="preserve">nrolment in universities and degree-awarding institutions </w:t>
      </w:r>
      <w:r w:rsidR="002C7718" w:rsidRPr="002617F5">
        <w:rPr>
          <w:b/>
          <w:sz w:val="20"/>
          <w:szCs w:val="20"/>
        </w:rPr>
        <w:t>(UGC data for 1999-2000)</w:t>
      </w:r>
    </w:p>
    <w:tbl>
      <w:tblPr>
        <w:tblW w:w="8820" w:type="dxa"/>
        <w:tblInd w:w="108" w:type="dxa"/>
        <w:tblLook w:val="01E0"/>
      </w:tblPr>
      <w:tblGrid>
        <w:gridCol w:w="6120"/>
        <w:gridCol w:w="2700"/>
      </w:tblGrid>
      <w:tr w:rsidR="003410D2" w:rsidRPr="002617F5" w:rsidTr="0092565E">
        <w:tc>
          <w:tcPr>
            <w:tcW w:w="6120" w:type="dxa"/>
            <w:tcBorders>
              <w:top w:val="single" w:sz="4" w:space="0" w:color="auto"/>
              <w:bottom w:val="single" w:sz="4" w:space="0" w:color="auto"/>
            </w:tcBorders>
            <w:shd w:val="clear" w:color="auto" w:fill="auto"/>
          </w:tcPr>
          <w:p w:rsidR="003410D2" w:rsidRPr="002617F5" w:rsidRDefault="003410D2" w:rsidP="006F58B6">
            <w:pPr>
              <w:jc w:val="center"/>
              <w:rPr>
                <w:b/>
                <w:sz w:val="20"/>
                <w:szCs w:val="20"/>
              </w:rPr>
            </w:pPr>
            <w:r w:rsidRPr="002617F5">
              <w:rPr>
                <w:b/>
                <w:sz w:val="20"/>
                <w:szCs w:val="20"/>
              </w:rPr>
              <w:t>Public Universities</w:t>
            </w:r>
          </w:p>
        </w:tc>
        <w:tc>
          <w:tcPr>
            <w:tcW w:w="2700" w:type="dxa"/>
            <w:tcBorders>
              <w:top w:val="single" w:sz="4" w:space="0" w:color="auto"/>
              <w:bottom w:val="single" w:sz="4" w:space="0" w:color="auto"/>
            </w:tcBorders>
            <w:shd w:val="clear" w:color="auto" w:fill="auto"/>
          </w:tcPr>
          <w:p w:rsidR="003410D2" w:rsidRPr="002617F5" w:rsidRDefault="003410D2" w:rsidP="006F58B6">
            <w:pPr>
              <w:jc w:val="center"/>
              <w:rPr>
                <w:b/>
                <w:sz w:val="20"/>
                <w:szCs w:val="20"/>
              </w:rPr>
            </w:pPr>
            <w:r w:rsidRPr="002617F5">
              <w:rPr>
                <w:b/>
                <w:sz w:val="20"/>
                <w:szCs w:val="20"/>
              </w:rPr>
              <w:t>Enrolment and Percent</w:t>
            </w:r>
          </w:p>
        </w:tc>
      </w:tr>
      <w:tr w:rsidR="003410D2" w:rsidRPr="002617F5" w:rsidTr="0092565E">
        <w:tc>
          <w:tcPr>
            <w:tcW w:w="6120" w:type="dxa"/>
            <w:tcBorders>
              <w:top w:val="single" w:sz="4" w:space="0" w:color="auto"/>
            </w:tcBorders>
            <w:shd w:val="clear" w:color="auto" w:fill="auto"/>
          </w:tcPr>
          <w:p w:rsidR="003410D2" w:rsidRPr="002617F5" w:rsidRDefault="003410D2" w:rsidP="006F58B6">
            <w:pPr>
              <w:jc w:val="both"/>
              <w:rPr>
                <w:sz w:val="20"/>
                <w:szCs w:val="20"/>
              </w:rPr>
            </w:pPr>
            <w:r w:rsidRPr="002617F5">
              <w:rPr>
                <w:sz w:val="20"/>
                <w:szCs w:val="20"/>
              </w:rPr>
              <w:t>General (excluding AllamaIqbal Open University)</w:t>
            </w:r>
          </w:p>
        </w:tc>
        <w:tc>
          <w:tcPr>
            <w:tcW w:w="2700" w:type="dxa"/>
            <w:tcBorders>
              <w:top w:val="single" w:sz="4" w:space="0" w:color="auto"/>
            </w:tcBorders>
            <w:shd w:val="clear" w:color="auto" w:fill="auto"/>
          </w:tcPr>
          <w:p w:rsidR="003410D2" w:rsidRPr="002617F5" w:rsidRDefault="003410D2" w:rsidP="006F58B6">
            <w:pPr>
              <w:jc w:val="center"/>
              <w:rPr>
                <w:sz w:val="20"/>
                <w:szCs w:val="20"/>
              </w:rPr>
            </w:pPr>
            <w:r w:rsidRPr="002617F5">
              <w:rPr>
                <w:sz w:val="20"/>
                <w:szCs w:val="20"/>
              </w:rPr>
              <w:t>79,940 (57%)</w:t>
            </w:r>
          </w:p>
        </w:tc>
      </w:tr>
      <w:tr w:rsidR="003410D2" w:rsidRPr="002617F5" w:rsidTr="0092565E">
        <w:tc>
          <w:tcPr>
            <w:tcW w:w="6120" w:type="dxa"/>
            <w:shd w:val="clear" w:color="auto" w:fill="auto"/>
          </w:tcPr>
          <w:p w:rsidR="003410D2" w:rsidRPr="002617F5" w:rsidRDefault="003410D2" w:rsidP="006F58B6">
            <w:pPr>
              <w:jc w:val="both"/>
              <w:rPr>
                <w:sz w:val="20"/>
                <w:szCs w:val="20"/>
              </w:rPr>
            </w:pPr>
            <w:r w:rsidRPr="002617F5">
              <w:rPr>
                <w:sz w:val="20"/>
                <w:szCs w:val="20"/>
              </w:rPr>
              <w:t>Engineering</w:t>
            </w:r>
          </w:p>
        </w:tc>
        <w:tc>
          <w:tcPr>
            <w:tcW w:w="2700" w:type="dxa"/>
            <w:shd w:val="clear" w:color="auto" w:fill="auto"/>
          </w:tcPr>
          <w:p w:rsidR="003410D2" w:rsidRPr="002617F5" w:rsidRDefault="003410D2" w:rsidP="006F58B6">
            <w:pPr>
              <w:jc w:val="center"/>
              <w:rPr>
                <w:sz w:val="20"/>
                <w:szCs w:val="20"/>
              </w:rPr>
            </w:pPr>
            <w:r w:rsidRPr="002617F5">
              <w:rPr>
                <w:sz w:val="20"/>
                <w:szCs w:val="20"/>
              </w:rPr>
              <w:t>23,680 (17%)</w:t>
            </w:r>
          </w:p>
        </w:tc>
      </w:tr>
      <w:tr w:rsidR="003410D2" w:rsidRPr="002617F5" w:rsidTr="0092565E">
        <w:tc>
          <w:tcPr>
            <w:tcW w:w="6120" w:type="dxa"/>
            <w:shd w:val="clear" w:color="auto" w:fill="auto"/>
          </w:tcPr>
          <w:p w:rsidR="003410D2" w:rsidRPr="002617F5" w:rsidRDefault="003410D2" w:rsidP="006F58B6">
            <w:pPr>
              <w:jc w:val="both"/>
              <w:rPr>
                <w:sz w:val="20"/>
                <w:szCs w:val="20"/>
              </w:rPr>
            </w:pPr>
            <w:r w:rsidRPr="002617F5">
              <w:rPr>
                <w:sz w:val="20"/>
                <w:szCs w:val="20"/>
              </w:rPr>
              <w:t>Agriculture</w:t>
            </w:r>
          </w:p>
        </w:tc>
        <w:tc>
          <w:tcPr>
            <w:tcW w:w="2700" w:type="dxa"/>
            <w:shd w:val="clear" w:color="auto" w:fill="auto"/>
          </w:tcPr>
          <w:p w:rsidR="003410D2" w:rsidRPr="002617F5" w:rsidRDefault="003410D2" w:rsidP="006F58B6">
            <w:pPr>
              <w:jc w:val="center"/>
              <w:rPr>
                <w:sz w:val="20"/>
                <w:szCs w:val="20"/>
              </w:rPr>
            </w:pPr>
            <w:r w:rsidRPr="002617F5">
              <w:rPr>
                <w:sz w:val="20"/>
                <w:szCs w:val="20"/>
              </w:rPr>
              <w:t>14,210 (10%)</w:t>
            </w:r>
          </w:p>
        </w:tc>
      </w:tr>
      <w:tr w:rsidR="003410D2" w:rsidRPr="002617F5" w:rsidTr="0092565E">
        <w:tc>
          <w:tcPr>
            <w:tcW w:w="6120" w:type="dxa"/>
            <w:shd w:val="clear" w:color="auto" w:fill="auto"/>
          </w:tcPr>
          <w:p w:rsidR="003410D2" w:rsidRPr="002617F5" w:rsidRDefault="003410D2" w:rsidP="006F58B6">
            <w:pPr>
              <w:jc w:val="both"/>
              <w:rPr>
                <w:sz w:val="20"/>
                <w:szCs w:val="20"/>
              </w:rPr>
            </w:pPr>
            <w:r w:rsidRPr="002617F5">
              <w:rPr>
                <w:sz w:val="20"/>
                <w:szCs w:val="20"/>
              </w:rPr>
              <w:t>Sub Total for Public Universities</w:t>
            </w:r>
          </w:p>
        </w:tc>
        <w:tc>
          <w:tcPr>
            <w:tcW w:w="2700" w:type="dxa"/>
            <w:shd w:val="clear" w:color="auto" w:fill="auto"/>
          </w:tcPr>
          <w:p w:rsidR="003410D2" w:rsidRPr="002617F5" w:rsidRDefault="003410D2" w:rsidP="006F58B6">
            <w:pPr>
              <w:jc w:val="center"/>
              <w:rPr>
                <w:sz w:val="20"/>
                <w:szCs w:val="20"/>
              </w:rPr>
            </w:pPr>
            <w:r w:rsidRPr="002617F5">
              <w:rPr>
                <w:sz w:val="20"/>
                <w:szCs w:val="20"/>
              </w:rPr>
              <w:t>117,830 (85%)</w:t>
            </w:r>
          </w:p>
        </w:tc>
      </w:tr>
      <w:tr w:rsidR="003410D2" w:rsidRPr="002617F5" w:rsidTr="0092565E">
        <w:tc>
          <w:tcPr>
            <w:tcW w:w="6120" w:type="dxa"/>
            <w:shd w:val="clear" w:color="auto" w:fill="auto"/>
          </w:tcPr>
          <w:p w:rsidR="003410D2" w:rsidRPr="002617F5" w:rsidRDefault="003410D2" w:rsidP="006F58B6">
            <w:pPr>
              <w:jc w:val="both"/>
              <w:rPr>
                <w:sz w:val="20"/>
                <w:szCs w:val="20"/>
              </w:rPr>
            </w:pPr>
            <w:r w:rsidRPr="002617F5">
              <w:rPr>
                <w:sz w:val="20"/>
                <w:szCs w:val="20"/>
              </w:rPr>
              <w:t>Sub Total for Private Universities</w:t>
            </w:r>
          </w:p>
        </w:tc>
        <w:tc>
          <w:tcPr>
            <w:tcW w:w="2700" w:type="dxa"/>
            <w:shd w:val="clear" w:color="auto" w:fill="auto"/>
          </w:tcPr>
          <w:p w:rsidR="003410D2" w:rsidRPr="002617F5" w:rsidRDefault="003410D2" w:rsidP="006F58B6">
            <w:pPr>
              <w:jc w:val="center"/>
              <w:rPr>
                <w:sz w:val="20"/>
                <w:szCs w:val="20"/>
              </w:rPr>
            </w:pPr>
            <w:r w:rsidRPr="002617F5">
              <w:rPr>
                <w:sz w:val="20"/>
                <w:szCs w:val="20"/>
              </w:rPr>
              <w:t>21,490 (15%)</w:t>
            </w:r>
          </w:p>
        </w:tc>
      </w:tr>
      <w:tr w:rsidR="003410D2" w:rsidRPr="002617F5" w:rsidTr="0092565E">
        <w:tc>
          <w:tcPr>
            <w:tcW w:w="6120" w:type="dxa"/>
            <w:shd w:val="clear" w:color="auto" w:fill="auto"/>
          </w:tcPr>
          <w:p w:rsidR="003410D2" w:rsidRPr="002617F5" w:rsidRDefault="003410D2" w:rsidP="006F58B6">
            <w:pPr>
              <w:jc w:val="both"/>
              <w:rPr>
                <w:sz w:val="20"/>
                <w:szCs w:val="20"/>
              </w:rPr>
            </w:pPr>
            <w:r w:rsidRPr="002617F5">
              <w:rPr>
                <w:sz w:val="20"/>
                <w:szCs w:val="20"/>
              </w:rPr>
              <w:t>Total Enrolment in Universities</w:t>
            </w:r>
          </w:p>
        </w:tc>
        <w:tc>
          <w:tcPr>
            <w:tcW w:w="2700" w:type="dxa"/>
            <w:shd w:val="clear" w:color="auto" w:fill="auto"/>
          </w:tcPr>
          <w:p w:rsidR="003410D2" w:rsidRPr="002617F5" w:rsidRDefault="003410D2" w:rsidP="006F58B6">
            <w:pPr>
              <w:jc w:val="center"/>
              <w:rPr>
                <w:sz w:val="20"/>
                <w:szCs w:val="20"/>
              </w:rPr>
            </w:pPr>
            <w:r w:rsidRPr="002617F5">
              <w:rPr>
                <w:sz w:val="20"/>
                <w:szCs w:val="20"/>
              </w:rPr>
              <w:t>139,320 (100%)</w:t>
            </w:r>
          </w:p>
          <w:p w:rsidR="0092565E" w:rsidRPr="002617F5" w:rsidRDefault="0092565E" w:rsidP="006F58B6">
            <w:pPr>
              <w:jc w:val="center"/>
              <w:rPr>
                <w:sz w:val="20"/>
                <w:szCs w:val="20"/>
              </w:rPr>
            </w:pPr>
          </w:p>
        </w:tc>
      </w:tr>
    </w:tbl>
    <w:p w:rsidR="003468E5" w:rsidRPr="002617F5" w:rsidRDefault="003468E5" w:rsidP="00AC6FBB">
      <w:pPr>
        <w:jc w:val="both"/>
        <w:rPr>
          <w:i/>
          <w:sz w:val="20"/>
          <w:szCs w:val="20"/>
        </w:rPr>
      </w:pPr>
      <w:r w:rsidRPr="002617F5">
        <w:rPr>
          <w:i/>
          <w:sz w:val="20"/>
          <w:szCs w:val="20"/>
        </w:rPr>
        <w:t>Source: Various unpublished archival records of University G</w:t>
      </w:r>
      <w:r w:rsidR="00F306CB" w:rsidRPr="002617F5">
        <w:rPr>
          <w:i/>
          <w:sz w:val="20"/>
          <w:szCs w:val="20"/>
        </w:rPr>
        <w:t>r</w:t>
      </w:r>
      <w:r w:rsidRPr="002617F5">
        <w:rPr>
          <w:i/>
          <w:sz w:val="20"/>
          <w:szCs w:val="20"/>
        </w:rPr>
        <w:t>ants Commission consulted between 2000 and 2008.</w:t>
      </w:r>
    </w:p>
    <w:p w:rsidR="003468E5" w:rsidRPr="002617F5" w:rsidRDefault="003468E5" w:rsidP="009428C5">
      <w:pPr>
        <w:jc w:val="both"/>
      </w:pPr>
    </w:p>
    <w:p w:rsidR="00D142AE" w:rsidRPr="002617F5" w:rsidRDefault="00D142AE" w:rsidP="00931189">
      <w:pPr>
        <w:ind w:left="90" w:firstLine="630"/>
        <w:jc w:val="both"/>
      </w:pPr>
      <w:r w:rsidRPr="002617F5">
        <w:lastRenderedPageBreak/>
        <w:t>D</w:t>
      </w:r>
      <w:r w:rsidR="00CF63A7" w:rsidRPr="002617F5">
        <w:t xml:space="preserve">uring ministerial deliberations, </w:t>
      </w:r>
      <w:r w:rsidRPr="002617F5">
        <w:t>follow up consultations with experts and some university managers, it was decided by the government to institute a process of higher education reform in April, 2001 (GoP, 2002</w:t>
      </w:r>
      <w:r w:rsidR="00CF63A7" w:rsidRPr="002617F5">
        <w:t>a</w:t>
      </w:r>
      <w:r w:rsidRPr="002617F5">
        <w:t>).</w:t>
      </w:r>
    </w:p>
    <w:p w:rsidR="00D142AE" w:rsidRPr="002617F5" w:rsidRDefault="00D142AE" w:rsidP="00931189">
      <w:pPr>
        <w:ind w:left="90" w:firstLine="630"/>
        <w:jc w:val="both"/>
      </w:pPr>
    </w:p>
    <w:p w:rsidR="00D142AE" w:rsidRPr="002617F5" w:rsidRDefault="00D142AE" w:rsidP="0092565E">
      <w:pPr>
        <w:spacing w:line="360" w:lineRule="auto"/>
        <w:jc w:val="both"/>
        <w:rPr>
          <w:b/>
        </w:rPr>
      </w:pPr>
      <w:r w:rsidRPr="002617F5">
        <w:rPr>
          <w:b/>
        </w:rPr>
        <w:t xml:space="preserve">PROCESS OF REFORM </w:t>
      </w:r>
    </w:p>
    <w:p w:rsidR="00D142AE" w:rsidRPr="002617F5" w:rsidRDefault="00EA7585" w:rsidP="0092565E">
      <w:pPr>
        <w:jc w:val="both"/>
      </w:pPr>
      <w:r w:rsidRPr="002617F5">
        <w:tab/>
      </w:r>
      <w:r w:rsidR="00DA6BDE" w:rsidRPr="002617F5">
        <w:t xml:space="preserve">The </w:t>
      </w:r>
      <w:r w:rsidR="002A1471" w:rsidRPr="002617F5">
        <w:t xml:space="preserve">then </w:t>
      </w:r>
      <w:r w:rsidR="00DA6BDE" w:rsidRPr="002617F5">
        <w:t xml:space="preserve">Minister of Education, </w:t>
      </w:r>
      <w:r w:rsidR="00051DA4" w:rsidRPr="002617F5">
        <w:t>Government</w:t>
      </w:r>
      <w:r w:rsidR="00DA6BDE" w:rsidRPr="002617F5">
        <w:t xml:space="preserve"> of Pakistan notified the formulation of a Task Force for Improvement of Higher Education (TFIHE) in 2001. It was led by the </w:t>
      </w:r>
      <w:r w:rsidR="00E54BB5" w:rsidRPr="002617F5">
        <w:t xml:space="preserve">heads of two private </w:t>
      </w:r>
      <w:r w:rsidR="006B6AA2" w:rsidRPr="002617F5">
        <w:t>sector universities namely Lahore University of Management Sciences (LUMS) and Aga Khan</w:t>
      </w:r>
      <w:r w:rsidR="002617F5" w:rsidRPr="002617F5">
        <w:t xml:space="preserve"> </w:t>
      </w:r>
      <w:r w:rsidR="006B6AA2" w:rsidRPr="002617F5">
        <w:t xml:space="preserve">University, Karachi. It had </w:t>
      </w:r>
      <w:r w:rsidR="00E57F27" w:rsidRPr="002617F5">
        <w:t>a term</w:t>
      </w:r>
      <w:r w:rsidR="006B6AA2" w:rsidRPr="002617F5">
        <w:t xml:space="preserve"> of reference that was to be completed in about eight months (see Box-1). Few other tasks were added to the list of ToR such as right si</w:t>
      </w:r>
      <w:r w:rsidR="00161DD3" w:rsidRPr="002617F5">
        <w:t xml:space="preserve">zing of UGC and recommendations </w:t>
      </w:r>
      <w:r w:rsidR="006B6AA2" w:rsidRPr="002617F5">
        <w:t xml:space="preserve">towards administrative re-organisation of Ministry of Education. </w:t>
      </w:r>
    </w:p>
    <w:p w:rsidR="006B6AA2" w:rsidRPr="002617F5" w:rsidRDefault="006B6AA2" w:rsidP="00931189">
      <w:pPr>
        <w:ind w:left="90" w:firstLine="630"/>
        <w:jc w:val="both"/>
      </w:pPr>
    </w:p>
    <w:p w:rsidR="006B6AA2" w:rsidRPr="002617F5" w:rsidRDefault="009E2B9C" w:rsidP="00EA7585">
      <w:pPr>
        <w:ind w:left="90"/>
        <w:jc w:val="both"/>
      </w:pPr>
      <w:r w:rsidRPr="009E2B9C">
        <w:rPr>
          <w:noProof/>
        </w:rPr>
        <w:pict>
          <v:shape id="_x0000_s1035" type="#_x0000_t202" style="position:absolute;left:0;text-align:left;margin-left:256.15pt;margin-top:6pt;width:225pt;height:342pt;z-index:251657216" strokeweight=".25pt">
            <v:textbox style="mso-next-textbox:#_x0000_s1035">
              <w:txbxContent>
                <w:p w:rsidR="004F0D2B" w:rsidRPr="004115CD" w:rsidRDefault="004F0D2B" w:rsidP="003F4F6D">
                  <w:pPr>
                    <w:shd w:val="clear" w:color="auto" w:fill="FFFFFF"/>
                    <w:jc w:val="center"/>
                    <w:rPr>
                      <w:b/>
                      <w:szCs w:val="20"/>
                      <w:u w:val="single"/>
                    </w:rPr>
                  </w:pPr>
                  <w:r w:rsidRPr="004115CD">
                    <w:rPr>
                      <w:b/>
                      <w:szCs w:val="20"/>
                      <w:u w:val="single"/>
                    </w:rPr>
                    <w:t>Box-1: Terms of Reference of TFIHE</w:t>
                  </w:r>
                </w:p>
                <w:p w:rsidR="004F0D2B" w:rsidRDefault="004F0D2B" w:rsidP="003F4F6D">
                  <w:pPr>
                    <w:numPr>
                      <w:ilvl w:val="0"/>
                      <w:numId w:val="2"/>
                    </w:numPr>
                    <w:shd w:val="clear" w:color="auto" w:fill="FFFFFF"/>
                    <w:tabs>
                      <w:tab w:val="clear" w:pos="720"/>
                    </w:tabs>
                    <w:ind w:left="180" w:hanging="180"/>
                    <w:jc w:val="both"/>
                    <w:rPr>
                      <w:sz w:val="20"/>
                      <w:szCs w:val="20"/>
                    </w:rPr>
                  </w:pPr>
                  <w:r w:rsidRPr="00FB2430">
                    <w:rPr>
                      <w:sz w:val="20"/>
                      <w:szCs w:val="20"/>
                    </w:rPr>
                    <w:t xml:space="preserve">Recommend ways of improving higher education in Pakistan with reference to national and international reports, studies and recommendations, and with consultation with the leadership, faculty, </w:t>
                  </w:r>
                  <w:r>
                    <w:rPr>
                      <w:sz w:val="20"/>
                      <w:szCs w:val="20"/>
                    </w:rPr>
                    <w:t xml:space="preserve">staff and students of institutions of higher education and Ministry of Education. </w:t>
                  </w:r>
                </w:p>
                <w:p w:rsidR="004F0D2B" w:rsidRDefault="004F0D2B" w:rsidP="003F4F6D">
                  <w:pPr>
                    <w:numPr>
                      <w:ilvl w:val="0"/>
                      <w:numId w:val="2"/>
                    </w:numPr>
                    <w:shd w:val="clear" w:color="auto" w:fill="FFFFFF"/>
                    <w:tabs>
                      <w:tab w:val="clear" w:pos="720"/>
                    </w:tabs>
                    <w:ind w:left="180" w:hanging="180"/>
                    <w:jc w:val="both"/>
                    <w:rPr>
                      <w:sz w:val="20"/>
                      <w:szCs w:val="20"/>
                    </w:rPr>
                  </w:pPr>
                  <w:r>
                    <w:rPr>
                      <w:sz w:val="20"/>
                      <w:szCs w:val="20"/>
                    </w:rPr>
                    <w:t xml:space="preserve">Identify ways and means of funding higher education in Pakistan, including new approaches for financial sustainability. </w:t>
                  </w:r>
                </w:p>
                <w:p w:rsidR="004F0D2B" w:rsidRDefault="004F0D2B" w:rsidP="003F4F6D">
                  <w:pPr>
                    <w:numPr>
                      <w:ilvl w:val="0"/>
                      <w:numId w:val="2"/>
                    </w:numPr>
                    <w:shd w:val="clear" w:color="auto" w:fill="FFFFFF"/>
                    <w:tabs>
                      <w:tab w:val="clear" w:pos="720"/>
                    </w:tabs>
                    <w:ind w:left="180" w:hanging="180"/>
                    <w:jc w:val="both"/>
                    <w:rPr>
                      <w:sz w:val="20"/>
                      <w:szCs w:val="20"/>
                    </w:rPr>
                  </w:pPr>
                  <w:r>
                    <w:rPr>
                      <w:sz w:val="20"/>
                      <w:szCs w:val="20"/>
                    </w:rPr>
                    <w:t xml:space="preserve">Recommend methods of effective governance of higher education, and their implementation. </w:t>
                  </w:r>
                </w:p>
                <w:p w:rsidR="004F0D2B" w:rsidRDefault="004F0D2B" w:rsidP="003F4F6D">
                  <w:pPr>
                    <w:numPr>
                      <w:ilvl w:val="0"/>
                      <w:numId w:val="2"/>
                    </w:numPr>
                    <w:shd w:val="clear" w:color="auto" w:fill="FFFFFF"/>
                    <w:tabs>
                      <w:tab w:val="clear" w:pos="720"/>
                    </w:tabs>
                    <w:ind w:left="180" w:hanging="180"/>
                    <w:jc w:val="both"/>
                    <w:rPr>
                      <w:sz w:val="20"/>
                      <w:szCs w:val="20"/>
                    </w:rPr>
                  </w:pPr>
                  <w:r>
                    <w:rPr>
                      <w:sz w:val="20"/>
                      <w:szCs w:val="20"/>
                    </w:rPr>
                    <w:t xml:space="preserve">Recommend the role of federal and provincial governments, and their departments and agencies in improving the quality and functioning of higher education institutions. </w:t>
                  </w:r>
                </w:p>
                <w:p w:rsidR="004F0D2B" w:rsidRDefault="004F0D2B" w:rsidP="003F4F6D">
                  <w:pPr>
                    <w:numPr>
                      <w:ilvl w:val="0"/>
                      <w:numId w:val="2"/>
                    </w:numPr>
                    <w:shd w:val="clear" w:color="auto" w:fill="FFFFFF"/>
                    <w:tabs>
                      <w:tab w:val="clear" w:pos="720"/>
                    </w:tabs>
                    <w:ind w:left="180" w:hanging="180"/>
                    <w:jc w:val="both"/>
                    <w:rPr>
                      <w:sz w:val="20"/>
                      <w:szCs w:val="20"/>
                    </w:rPr>
                  </w:pPr>
                  <w:r>
                    <w:rPr>
                      <w:sz w:val="20"/>
                      <w:szCs w:val="20"/>
                    </w:rPr>
                    <w:t xml:space="preserve">Recommend improved systems of higher education management, including development of faculty and support for student performance. </w:t>
                  </w:r>
                </w:p>
                <w:p w:rsidR="004F0D2B" w:rsidRDefault="004F0D2B" w:rsidP="003F4F6D">
                  <w:pPr>
                    <w:numPr>
                      <w:ilvl w:val="0"/>
                      <w:numId w:val="2"/>
                    </w:numPr>
                    <w:shd w:val="clear" w:color="auto" w:fill="FFFFFF"/>
                    <w:tabs>
                      <w:tab w:val="clear" w:pos="720"/>
                    </w:tabs>
                    <w:ind w:left="180" w:hanging="180"/>
                    <w:jc w:val="both"/>
                    <w:rPr>
                      <w:sz w:val="20"/>
                      <w:szCs w:val="20"/>
                    </w:rPr>
                  </w:pPr>
                  <w:r>
                    <w:rPr>
                      <w:sz w:val="20"/>
                      <w:szCs w:val="20"/>
                    </w:rPr>
                    <w:t xml:space="preserve">Recommend methods of improving the quality of higher education, including systems of quality assurance, academic audit and accreditation. </w:t>
                  </w:r>
                </w:p>
                <w:p w:rsidR="004F0D2B" w:rsidRDefault="004F0D2B" w:rsidP="003F4F6D">
                  <w:pPr>
                    <w:numPr>
                      <w:ilvl w:val="0"/>
                      <w:numId w:val="2"/>
                    </w:numPr>
                    <w:shd w:val="clear" w:color="auto" w:fill="FFFFFF"/>
                    <w:tabs>
                      <w:tab w:val="clear" w:pos="720"/>
                    </w:tabs>
                    <w:ind w:left="180" w:hanging="180"/>
                    <w:jc w:val="both"/>
                    <w:rPr>
                      <w:sz w:val="20"/>
                      <w:szCs w:val="20"/>
                    </w:rPr>
                  </w:pPr>
                  <w:r>
                    <w:rPr>
                      <w:sz w:val="20"/>
                      <w:szCs w:val="20"/>
                    </w:rPr>
                    <w:t xml:space="preserve">Specify a prioritized plan for implementation of the recommendations for improvement of higher education. </w:t>
                  </w:r>
                </w:p>
                <w:p w:rsidR="004F0D2B" w:rsidRDefault="004F0D2B" w:rsidP="003F4F6D">
                  <w:pPr>
                    <w:numPr>
                      <w:ilvl w:val="0"/>
                      <w:numId w:val="2"/>
                    </w:numPr>
                    <w:shd w:val="clear" w:color="auto" w:fill="FFFFFF"/>
                    <w:tabs>
                      <w:tab w:val="clear" w:pos="720"/>
                    </w:tabs>
                    <w:ind w:left="180" w:hanging="180"/>
                    <w:jc w:val="both"/>
                    <w:rPr>
                      <w:sz w:val="20"/>
                      <w:szCs w:val="20"/>
                    </w:rPr>
                  </w:pPr>
                  <w:r>
                    <w:rPr>
                      <w:sz w:val="20"/>
                      <w:szCs w:val="20"/>
                    </w:rPr>
                    <w:t xml:space="preserve">Submit a final report to the Government of Pakistan by December 2001. </w:t>
                  </w:r>
                </w:p>
                <w:p w:rsidR="004F0D2B" w:rsidRPr="00A205AD" w:rsidRDefault="004F0D2B" w:rsidP="003F4F6D">
                  <w:pPr>
                    <w:shd w:val="clear" w:color="auto" w:fill="FFFFFF"/>
                    <w:jc w:val="right"/>
                    <w:rPr>
                      <w:i/>
                      <w:sz w:val="20"/>
                      <w:szCs w:val="20"/>
                    </w:rPr>
                  </w:pPr>
                  <w:r w:rsidRPr="00A205AD">
                    <w:rPr>
                      <w:i/>
                      <w:sz w:val="20"/>
                      <w:szCs w:val="20"/>
                    </w:rPr>
                    <w:t>Source: GoP, 2002</w:t>
                  </w:r>
                </w:p>
              </w:txbxContent>
            </v:textbox>
            <w10:wrap type="square"/>
          </v:shape>
        </w:pict>
      </w:r>
      <w:r w:rsidR="00EA7585" w:rsidRPr="002617F5">
        <w:tab/>
      </w:r>
      <w:r w:rsidR="006B6AA2" w:rsidRPr="002617F5">
        <w:t>After many deliberations with academic fraternity of public and private sector universities in the country</w:t>
      </w:r>
      <w:r w:rsidR="00EB2333" w:rsidRPr="002617F5">
        <w:t>,</w:t>
      </w:r>
      <w:r w:rsidR="006B6AA2" w:rsidRPr="002617F5">
        <w:t xml:space="preserve"> think tank type contributions from overseas </w:t>
      </w:r>
      <w:r w:rsidR="007B1795" w:rsidRPr="002617F5">
        <w:t>Pakistani</w:t>
      </w:r>
      <w:r w:rsidR="006B6AA2" w:rsidRPr="002617F5">
        <w:t>/international academics</w:t>
      </w:r>
      <w:r w:rsidR="00EB2333" w:rsidRPr="002617F5">
        <w:t>,</w:t>
      </w:r>
      <w:r w:rsidR="006B6AA2" w:rsidRPr="002617F5">
        <w:t xml:space="preserve"> seminars and colloquia, the TFIHE presented </w:t>
      </w:r>
      <w:r w:rsidR="007B1795" w:rsidRPr="002617F5">
        <w:t xml:space="preserve">its report to the government. The said report suggested changes and improvements in curricula, collegelevel education, governance format of universities, funding needs of </w:t>
      </w:r>
      <w:r w:rsidR="00F779BD" w:rsidRPr="002617F5">
        <w:t xml:space="preserve">institutions, hardware and staff support to research </w:t>
      </w:r>
      <w:r w:rsidR="00EB2333" w:rsidRPr="002617F5">
        <w:t>endeavoures</w:t>
      </w:r>
      <w:r w:rsidR="00F779BD" w:rsidRPr="002617F5">
        <w:t xml:space="preserve">, assessment criteria of academic work and data </w:t>
      </w:r>
      <w:r w:rsidR="005334E5" w:rsidRPr="002617F5">
        <w:t>base</w:t>
      </w:r>
      <w:r w:rsidR="00F779BD" w:rsidRPr="002617F5">
        <w:t xml:space="preserve"> for higher education pursuits (GoP, 2002; Ahmed, 2002a). In </w:t>
      </w:r>
      <w:r w:rsidR="00601184" w:rsidRPr="002617F5">
        <w:t xml:space="preserve">specific terms, the task force suggested the promulgation of a new act on higher education, creation of a </w:t>
      </w:r>
      <w:r w:rsidR="00B874AF" w:rsidRPr="002617F5">
        <w:t xml:space="preserve">Steering </w:t>
      </w:r>
      <w:r w:rsidR="00601184" w:rsidRPr="002617F5">
        <w:t xml:space="preserve">Committee in order to develop a plan for implementation for higher education </w:t>
      </w:r>
      <w:r w:rsidR="00B874AF" w:rsidRPr="002617F5">
        <w:t xml:space="preserve">and search for appropriate candidates for the proposed board of governors of the Higher Education Commission (HEC)/universities (GoP, 2002; Ahmed, 2002a). </w:t>
      </w:r>
    </w:p>
    <w:p w:rsidR="00B874AF" w:rsidRPr="002617F5" w:rsidRDefault="00B874AF" w:rsidP="00931189">
      <w:pPr>
        <w:ind w:left="90" w:firstLine="630"/>
        <w:jc w:val="both"/>
      </w:pPr>
    </w:p>
    <w:p w:rsidR="00BE76EB" w:rsidRPr="002617F5" w:rsidRDefault="00EA7585" w:rsidP="00EA7585">
      <w:pPr>
        <w:ind w:left="90"/>
        <w:jc w:val="both"/>
      </w:pPr>
      <w:r w:rsidRPr="002617F5">
        <w:tab/>
      </w:r>
      <w:r w:rsidR="00BE76EB" w:rsidRPr="002617F5">
        <w:t xml:space="preserve">A Steering Committee on Higher Education (SCHE) was eventually formed. It took upon itself to focus on the recommendations of TFIHE. The Higher Education Commission Ordinance was promulgated in 2002 which gave rise to the creation of Higher Education Commission (HEC) in the same year. An elaborate agenda of reforms was prepared by the HEC where in the universities – which traditionally received financial grants only </w:t>
      </w:r>
      <w:r w:rsidR="00CF63A7" w:rsidRPr="002617F5">
        <w:t>from UGC</w:t>
      </w:r>
      <w:r w:rsidR="00BE76EB" w:rsidRPr="002617F5">
        <w:t>– were advised to participate. Some of the components of this agenda included adoption of uniform legal / governance structure by</w:t>
      </w:r>
      <w:r w:rsidR="00161DD3" w:rsidRPr="002617F5">
        <w:t xml:space="preserve"> all universities (Ahmed, 2003),</w:t>
      </w:r>
      <w:r w:rsidR="00BE76EB" w:rsidRPr="002617F5">
        <w:t xml:space="preserve"> revision in the faculty hiring criteria with an emphasis on doctoral qualifications; facilitation of private sector education institutions; institution of a ranking criteria for universities; extension of development funding and scholarships with emphasis on doctoral scholarships; quality control and assurance mechanisms; raise in the salary structure of university academic staff; facilitation of research, travel, conference and seminar grants and many more. The HEC also embarked upon an ambitious programme of opening new universities in the public sector as well as upgrading </w:t>
      </w:r>
      <w:r w:rsidR="00F96894" w:rsidRPr="002617F5">
        <w:t>many</w:t>
      </w:r>
      <w:r w:rsidR="00BE76EB" w:rsidRPr="002617F5">
        <w:t xml:space="preserve"> colleges to the status of degree awarding status and even universities. </w:t>
      </w:r>
    </w:p>
    <w:p w:rsidR="003B65E0" w:rsidRPr="002617F5" w:rsidRDefault="007B6BB5" w:rsidP="00931189">
      <w:pPr>
        <w:ind w:left="90" w:firstLine="630"/>
        <w:jc w:val="both"/>
      </w:pPr>
      <w:r w:rsidRPr="002617F5">
        <w:lastRenderedPageBreak/>
        <w:t xml:space="preserve">Commonly observed indicators and </w:t>
      </w:r>
      <w:r w:rsidR="007552F3" w:rsidRPr="002617F5">
        <w:t>viewpoints</w:t>
      </w:r>
      <w:r w:rsidRPr="002617F5">
        <w:t xml:space="preserve"> of key stakeholders make us believe that t</w:t>
      </w:r>
      <w:r w:rsidR="00BE76EB" w:rsidRPr="002617F5">
        <w:t>he HEC</w:t>
      </w:r>
      <w:r w:rsidR="00866D7F" w:rsidRPr="002617F5">
        <w:t xml:space="preserve">has been successful in implementing a significant part of its reforms agenda. Whereas a detailed qualitative analysis of </w:t>
      </w:r>
      <w:r w:rsidRPr="002617F5">
        <w:t>HEC’s cumulative performance</w:t>
      </w:r>
      <w:r w:rsidR="00866D7F" w:rsidRPr="002617F5">
        <w:t xml:space="preserve"> merits a detailed study which is beyond the sc</w:t>
      </w:r>
      <w:r w:rsidR="00CF63A7" w:rsidRPr="002617F5">
        <w:t>o</w:t>
      </w:r>
      <w:r w:rsidR="00866D7F" w:rsidRPr="002617F5">
        <w:t xml:space="preserve">pe of this paper, it can be safely </w:t>
      </w:r>
      <w:r w:rsidR="0046260B" w:rsidRPr="002617F5">
        <w:t xml:space="preserve">said </w:t>
      </w:r>
      <w:r w:rsidR="00866D7F" w:rsidRPr="002617F5">
        <w:t xml:space="preserve">that the stated objectives were rigorously followed. Some salient mentions include a sizable raise in the funding of universities (which stood at over Rs. 46 billion in 2007-2008), support for faculty development programmes, setting up a national testing service to judge educational attainment levels, </w:t>
      </w:r>
      <w:r w:rsidR="007552F3" w:rsidRPr="002617F5">
        <w:t>up gradation</w:t>
      </w:r>
      <w:r w:rsidR="00866D7F" w:rsidRPr="002617F5">
        <w:t xml:space="preserve"> of </w:t>
      </w:r>
      <w:r w:rsidR="0046260B" w:rsidRPr="002617F5">
        <w:t xml:space="preserve">more than a dozen </w:t>
      </w:r>
      <w:r w:rsidR="00866D7F" w:rsidRPr="002617F5">
        <w:t xml:space="preserve">collegiate institutions to university status, inception of </w:t>
      </w:r>
      <w:r w:rsidR="0046260B" w:rsidRPr="002617F5">
        <w:t>over twenty</w:t>
      </w:r>
      <w:r w:rsidR="00866D7F" w:rsidRPr="002617F5">
        <w:t xml:space="preserve"> new universities in the public sector and developmental assistance to a </w:t>
      </w:r>
      <w:r w:rsidR="00DD0570" w:rsidRPr="002617F5">
        <w:t>greatly</w:t>
      </w:r>
      <w:r w:rsidR="00866D7F" w:rsidRPr="002617F5">
        <w:t xml:space="preserve"> enhanced status [for details see HEC website (</w:t>
      </w:r>
      <w:r w:rsidR="00EB2333" w:rsidRPr="002617F5">
        <w:t>www.hec.com.pk</w:t>
      </w:r>
      <w:r w:rsidR="00866D7F" w:rsidRPr="002617F5">
        <w:t>)]</w:t>
      </w:r>
      <w:r w:rsidR="00EB2333" w:rsidRPr="002617F5">
        <w:t xml:space="preserve"> (Table-03)</w:t>
      </w:r>
      <w:r w:rsidR="00866D7F" w:rsidRPr="002617F5">
        <w:t xml:space="preserve">. Little success could be achieved in the domains of changing the governance structure of universities, ranking yardsticks and what could be termed as cumulative qualitative enhancement, particularly general universities. Some headway was made in research participation of faculty, though not comparable to international norms. </w:t>
      </w:r>
    </w:p>
    <w:p w:rsidR="003F4F6D" w:rsidRPr="002617F5" w:rsidRDefault="003F4F6D" w:rsidP="003F4F6D">
      <w:pPr>
        <w:rPr>
          <w:b/>
        </w:rPr>
      </w:pPr>
    </w:p>
    <w:p w:rsidR="00004F4E" w:rsidRPr="002617F5" w:rsidRDefault="00A80A1F" w:rsidP="00EA7585">
      <w:pPr>
        <w:spacing w:line="360" w:lineRule="auto"/>
        <w:rPr>
          <w:b/>
          <w:sz w:val="20"/>
          <w:szCs w:val="20"/>
        </w:rPr>
      </w:pPr>
      <w:r w:rsidRPr="002617F5">
        <w:rPr>
          <w:b/>
          <w:sz w:val="20"/>
          <w:szCs w:val="20"/>
        </w:rPr>
        <w:t>T</w:t>
      </w:r>
      <w:r w:rsidR="003F4F6D" w:rsidRPr="002617F5">
        <w:rPr>
          <w:b/>
          <w:sz w:val="20"/>
          <w:szCs w:val="20"/>
        </w:rPr>
        <w:t>able</w:t>
      </w:r>
      <w:r w:rsidRPr="002617F5">
        <w:rPr>
          <w:b/>
          <w:sz w:val="20"/>
          <w:szCs w:val="20"/>
        </w:rPr>
        <w:t>3</w:t>
      </w:r>
      <w:r w:rsidR="00EA7585" w:rsidRPr="002617F5">
        <w:rPr>
          <w:b/>
          <w:sz w:val="20"/>
          <w:szCs w:val="20"/>
        </w:rPr>
        <w:t xml:space="preserve">: </w:t>
      </w:r>
      <w:r w:rsidRPr="002617F5">
        <w:rPr>
          <w:b/>
          <w:sz w:val="20"/>
          <w:szCs w:val="20"/>
        </w:rPr>
        <w:t>E</w:t>
      </w:r>
      <w:r w:rsidR="003F4F6D" w:rsidRPr="002617F5">
        <w:rPr>
          <w:b/>
          <w:sz w:val="20"/>
          <w:szCs w:val="20"/>
        </w:rPr>
        <w:t>volution of universities</w:t>
      </w:r>
    </w:p>
    <w:tbl>
      <w:tblPr>
        <w:tblW w:w="7920" w:type="dxa"/>
        <w:jc w:val="center"/>
        <w:tblInd w:w="828" w:type="dxa"/>
        <w:tblLayout w:type="fixed"/>
        <w:tblLook w:val="01E0"/>
      </w:tblPr>
      <w:tblGrid>
        <w:gridCol w:w="1800"/>
        <w:gridCol w:w="1440"/>
        <w:gridCol w:w="1260"/>
        <w:gridCol w:w="1620"/>
        <w:gridCol w:w="1800"/>
      </w:tblGrid>
      <w:tr w:rsidR="00A623A1" w:rsidRPr="002617F5" w:rsidTr="00EA7585">
        <w:trPr>
          <w:jc w:val="center"/>
        </w:trPr>
        <w:tc>
          <w:tcPr>
            <w:tcW w:w="4500" w:type="dxa"/>
            <w:gridSpan w:val="3"/>
            <w:tcBorders>
              <w:top w:val="single" w:sz="4" w:space="0" w:color="auto"/>
            </w:tcBorders>
            <w:shd w:val="clear" w:color="auto" w:fill="auto"/>
          </w:tcPr>
          <w:p w:rsidR="00A623A1" w:rsidRPr="002617F5" w:rsidRDefault="00A623A1" w:rsidP="006D37D7">
            <w:pPr>
              <w:jc w:val="center"/>
              <w:rPr>
                <w:b/>
                <w:sz w:val="20"/>
                <w:szCs w:val="20"/>
              </w:rPr>
            </w:pPr>
            <w:r w:rsidRPr="002617F5">
              <w:rPr>
                <w:b/>
                <w:sz w:val="20"/>
                <w:szCs w:val="20"/>
              </w:rPr>
              <w:t>Universities</w:t>
            </w:r>
          </w:p>
        </w:tc>
        <w:tc>
          <w:tcPr>
            <w:tcW w:w="3420" w:type="dxa"/>
            <w:gridSpan w:val="2"/>
            <w:tcBorders>
              <w:top w:val="single" w:sz="4" w:space="0" w:color="auto"/>
            </w:tcBorders>
            <w:shd w:val="clear" w:color="auto" w:fill="auto"/>
          </w:tcPr>
          <w:p w:rsidR="00A623A1" w:rsidRPr="002617F5" w:rsidRDefault="00A623A1" w:rsidP="006D37D7">
            <w:pPr>
              <w:jc w:val="center"/>
              <w:rPr>
                <w:b/>
                <w:sz w:val="20"/>
                <w:szCs w:val="20"/>
              </w:rPr>
            </w:pPr>
            <w:r w:rsidRPr="002617F5">
              <w:rPr>
                <w:b/>
                <w:sz w:val="20"/>
                <w:szCs w:val="20"/>
              </w:rPr>
              <w:t>Degree awarding institutions</w:t>
            </w:r>
          </w:p>
        </w:tc>
      </w:tr>
      <w:tr w:rsidR="00A623A1" w:rsidRPr="002617F5" w:rsidTr="00EA7585">
        <w:trPr>
          <w:jc w:val="center"/>
        </w:trPr>
        <w:tc>
          <w:tcPr>
            <w:tcW w:w="1800" w:type="dxa"/>
            <w:tcBorders>
              <w:bottom w:val="single" w:sz="4" w:space="0" w:color="auto"/>
            </w:tcBorders>
            <w:shd w:val="clear" w:color="auto" w:fill="auto"/>
          </w:tcPr>
          <w:p w:rsidR="00A623A1" w:rsidRPr="002617F5" w:rsidRDefault="00A623A1" w:rsidP="006D37D7">
            <w:pPr>
              <w:jc w:val="center"/>
              <w:rPr>
                <w:sz w:val="20"/>
                <w:szCs w:val="20"/>
              </w:rPr>
            </w:pPr>
            <w:r w:rsidRPr="002617F5">
              <w:rPr>
                <w:sz w:val="20"/>
                <w:szCs w:val="20"/>
              </w:rPr>
              <w:t>Year</w:t>
            </w:r>
          </w:p>
        </w:tc>
        <w:tc>
          <w:tcPr>
            <w:tcW w:w="1440" w:type="dxa"/>
            <w:tcBorders>
              <w:bottom w:val="single" w:sz="4" w:space="0" w:color="auto"/>
            </w:tcBorders>
            <w:shd w:val="clear" w:color="auto" w:fill="auto"/>
          </w:tcPr>
          <w:p w:rsidR="00A623A1" w:rsidRPr="002617F5" w:rsidRDefault="00A623A1" w:rsidP="006D37D7">
            <w:pPr>
              <w:jc w:val="center"/>
              <w:rPr>
                <w:sz w:val="20"/>
                <w:szCs w:val="20"/>
              </w:rPr>
            </w:pPr>
            <w:r w:rsidRPr="002617F5">
              <w:rPr>
                <w:sz w:val="20"/>
                <w:szCs w:val="20"/>
              </w:rPr>
              <w:t>Public</w:t>
            </w:r>
          </w:p>
        </w:tc>
        <w:tc>
          <w:tcPr>
            <w:tcW w:w="1260" w:type="dxa"/>
            <w:tcBorders>
              <w:bottom w:val="single" w:sz="4" w:space="0" w:color="auto"/>
            </w:tcBorders>
            <w:shd w:val="clear" w:color="auto" w:fill="auto"/>
          </w:tcPr>
          <w:p w:rsidR="00A623A1" w:rsidRPr="002617F5" w:rsidRDefault="00A623A1" w:rsidP="006D37D7">
            <w:pPr>
              <w:jc w:val="center"/>
              <w:rPr>
                <w:sz w:val="20"/>
                <w:szCs w:val="20"/>
              </w:rPr>
            </w:pPr>
            <w:r w:rsidRPr="002617F5">
              <w:rPr>
                <w:sz w:val="20"/>
                <w:szCs w:val="20"/>
              </w:rPr>
              <w:t>Private</w:t>
            </w:r>
          </w:p>
        </w:tc>
        <w:tc>
          <w:tcPr>
            <w:tcW w:w="1620" w:type="dxa"/>
            <w:tcBorders>
              <w:bottom w:val="single" w:sz="4" w:space="0" w:color="auto"/>
            </w:tcBorders>
            <w:shd w:val="clear" w:color="auto" w:fill="auto"/>
          </w:tcPr>
          <w:p w:rsidR="00A623A1" w:rsidRPr="002617F5" w:rsidRDefault="00A623A1" w:rsidP="006D37D7">
            <w:pPr>
              <w:jc w:val="center"/>
              <w:rPr>
                <w:sz w:val="20"/>
                <w:szCs w:val="20"/>
              </w:rPr>
            </w:pPr>
            <w:r w:rsidRPr="002617F5">
              <w:rPr>
                <w:sz w:val="20"/>
                <w:szCs w:val="20"/>
              </w:rPr>
              <w:t>Public</w:t>
            </w:r>
          </w:p>
        </w:tc>
        <w:tc>
          <w:tcPr>
            <w:tcW w:w="1800" w:type="dxa"/>
            <w:tcBorders>
              <w:bottom w:val="single" w:sz="4" w:space="0" w:color="auto"/>
            </w:tcBorders>
            <w:shd w:val="clear" w:color="auto" w:fill="auto"/>
          </w:tcPr>
          <w:p w:rsidR="00A623A1" w:rsidRPr="002617F5" w:rsidRDefault="00A623A1" w:rsidP="006D37D7">
            <w:pPr>
              <w:jc w:val="center"/>
              <w:rPr>
                <w:sz w:val="20"/>
                <w:szCs w:val="20"/>
              </w:rPr>
            </w:pPr>
            <w:r w:rsidRPr="002617F5">
              <w:rPr>
                <w:sz w:val="20"/>
                <w:szCs w:val="20"/>
              </w:rPr>
              <w:t>Private</w:t>
            </w:r>
          </w:p>
        </w:tc>
      </w:tr>
      <w:tr w:rsidR="00A623A1" w:rsidRPr="002617F5" w:rsidTr="00EA7585">
        <w:trPr>
          <w:jc w:val="center"/>
        </w:trPr>
        <w:tc>
          <w:tcPr>
            <w:tcW w:w="1800" w:type="dxa"/>
            <w:tcBorders>
              <w:top w:val="single" w:sz="4" w:space="0" w:color="auto"/>
            </w:tcBorders>
            <w:shd w:val="clear" w:color="auto" w:fill="auto"/>
          </w:tcPr>
          <w:p w:rsidR="00A623A1" w:rsidRPr="002617F5" w:rsidRDefault="00A623A1" w:rsidP="006D37D7">
            <w:pPr>
              <w:jc w:val="center"/>
              <w:rPr>
                <w:sz w:val="20"/>
                <w:szCs w:val="20"/>
              </w:rPr>
            </w:pPr>
            <w:r w:rsidRPr="002617F5">
              <w:rPr>
                <w:sz w:val="20"/>
                <w:szCs w:val="20"/>
              </w:rPr>
              <w:t>1947-48</w:t>
            </w:r>
          </w:p>
        </w:tc>
        <w:tc>
          <w:tcPr>
            <w:tcW w:w="1440" w:type="dxa"/>
            <w:tcBorders>
              <w:top w:val="single" w:sz="4" w:space="0" w:color="auto"/>
            </w:tcBorders>
            <w:shd w:val="clear" w:color="auto" w:fill="auto"/>
          </w:tcPr>
          <w:p w:rsidR="00A623A1" w:rsidRPr="002617F5" w:rsidRDefault="00A623A1" w:rsidP="006D37D7">
            <w:pPr>
              <w:jc w:val="center"/>
              <w:rPr>
                <w:sz w:val="20"/>
                <w:szCs w:val="20"/>
              </w:rPr>
            </w:pPr>
            <w:r w:rsidRPr="002617F5">
              <w:rPr>
                <w:sz w:val="20"/>
                <w:szCs w:val="20"/>
              </w:rPr>
              <w:t>2</w:t>
            </w:r>
          </w:p>
        </w:tc>
        <w:tc>
          <w:tcPr>
            <w:tcW w:w="1260" w:type="dxa"/>
            <w:tcBorders>
              <w:top w:val="single" w:sz="4" w:space="0" w:color="auto"/>
            </w:tcBorders>
            <w:shd w:val="clear" w:color="auto" w:fill="auto"/>
          </w:tcPr>
          <w:p w:rsidR="00A623A1" w:rsidRPr="002617F5" w:rsidRDefault="00A623A1" w:rsidP="006D37D7">
            <w:pPr>
              <w:jc w:val="center"/>
              <w:rPr>
                <w:sz w:val="20"/>
                <w:szCs w:val="20"/>
              </w:rPr>
            </w:pPr>
            <w:r w:rsidRPr="002617F5">
              <w:rPr>
                <w:sz w:val="20"/>
                <w:szCs w:val="20"/>
              </w:rPr>
              <w:t>0</w:t>
            </w:r>
          </w:p>
        </w:tc>
        <w:tc>
          <w:tcPr>
            <w:tcW w:w="1620" w:type="dxa"/>
            <w:tcBorders>
              <w:top w:val="single" w:sz="4" w:space="0" w:color="auto"/>
            </w:tcBorders>
            <w:shd w:val="clear" w:color="auto" w:fill="auto"/>
          </w:tcPr>
          <w:p w:rsidR="00A623A1" w:rsidRPr="002617F5" w:rsidRDefault="00A623A1" w:rsidP="006D37D7">
            <w:pPr>
              <w:jc w:val="center"/>
              <w:rPr>
                <w:sz w:val="20"/>
                <w:szCs w:val="20"/>
              </w:rPr>
            </w:pPr>
            <w:r w:rsidRPr="002617F5">
              <w:rPr>
                <w:sz w:val="20"/>
                <w:szCs w:val="20"/>
              </w:rPr>
              <w:t>0</w:t>
            </w:r>
          </w:p>
        </w:tc>
        <w:tc>
          <w:tcPr>
            <w:tcW w:w="1800" w:type="dxa"/>
            <w:tcBorders>
              <w:top w:val="single" w:sz="4" w:space="0" w:color="auto"/>
            </w:tcBorders>
            <w:shd w:val="clear" w:color="auto" w:fill="auto"/>
          </w:tcPr>
          <w:p w:rsidR="00A623A1" w:rsidRPr="002617F5" w:rsidRDefault="00A623A1" w:rsidP="006D37D7">
            <w:pPr>
              <w:jc w:val="center"/>
              <w:rPr>
                <w:sz w:val="20"/>
                <w:szCs w:val="20"/>
              </w:rPr>
            </w:pPr>
            <w:r w:rsidRPr="002617F5">
              <w:rPr>
                <w:sz w:val="20"/>
                <w:szCs w:val="20"/>
              </w:rPr>
              <w:t>0</w:t>
            </w:r>
          </w:p>
        </w:tc>
      </w:tr>
      <w:tr w:rsidR="00A623A1" w:rsidRPr="002617F5" w:rsidTr="00EA7585">
        <w:trPr>
          <w:jc w:val="center"/>
        </w:trPr>
        <w:tc>
          <w:tcPr>
            <w:tcW w:w="1800" w:type="dxa"/>
            <w:shd w:val="clear" w:color="auto" w:fill="auto"/>
          </w:tcPr>
          <w:p w:rsidR="00A623A1" w:rsidRPr="002617F5" w:rsidRDefault="00A623A1" w:rsidP="006D37D7">
            <w:pPr>
              <w:jc w:val="center"/>
              <w:rPr>
                <w:sz w:val="20"/>
                <w:szCs w:val="20"/>
              </w:rPr>
            </w:pPr>
            <w:r w:rsidRPr="002617F5">
              <w:rPr>
                <w:sz w:val="20"/>
                <w:szCs w:val="20"/>
              </w:rPr>
              <w:t>1950-51</w:t>
            </w:r>
          </w:p>
        </w:tc>
        <w:tc>
          <w:tcPr>
            <w:tcW w:w="1440" w:type="dxa"/>
            <w:shd w:val="clear" w:color="auto" w:fill="auto"/>
          </w:tcPr>
          <w:p w:rsidR="00A623A1" w:rsidRPr="002617F5" w:rsidRDefault="00A623A1" w:rsidP="006D37D7">
            <w:pPr>
              <w:jc w:val="center"/>
              <w:rPr>
                <w:sz w:val="20"/>
                <w:szCs w:val="20"/>
              </w:rPr>
            </w:pPr>
            <w:r w:rsidRPr="002617F5">
              <w:rPr>
                <w:sz w:val="20"/>
                <w:szCs w:val="20"/>
              </w:rPr>
              <w:t>4</w:t>
            </w:r>
          </w:p>
        </w:tc>
        <w:tc>
          <w:tcPr>
            <w:tcW w:w="1260" w:type="dxa"/>
            <w:shd w:val="clear" w:color="auto" w:fill="auto"/>
          </w:tcPr>
          <w:p w:rsidR="00A623A1" w:rsidRPr="002617F5" w:rsidRDefault="00A623A1" w:rsidP="006D37D7">
            <w:pPr>
              <w:jc w:val="center"/>
              <w:rPr>
                <w:sz w:val="20"/>
                <w:szCs w:val="20"/>
              </w:rPr>
            </w:pPr>
            <w:r w:rsidRPr="002617F5">
              <w:rPr>
                <w:sz w:val="20"/>
                <w:szCs w:val="20"/>
              </w:rPr>
              <w:t>0</w:t>
            </w:r>
          </w:p>
        </w:tc>
        <w:tc>
          <w:tcPr>
            <w:tcW w:w="1620" w:type="dxa"/>
            <w:shd w:val="clear" w:color="auto" w:fill="auto"/>
          </w:tcPr>
          <w:p w:rsidR="00A623A1" w:rsidRPr="002617F5" w:rsidRDefault="00A623A1" w:rsidP="006D37D7">
            <w:pPr>
              <w:jc w:val="center"/>
              <w:rPr>
                <w:sz w:val="20"/>
                <w:szCs w:val="20"/>
              </w:rPr>
            </w:pPr>
            <w:r w:rsidRPr="002617F5">
              <w:rPr>
                <w:sz w:val="20"/>
                <w:szCs w:val="20"/>
              </w:rPr>
              <w:t>0</w:t>
            </w:r>
          </w:p>
        </w:tc>
        <w:tc>
          <w:tcPr>
            <w:tcW w:w="1800" w:type="dxa"/>
            <w:shd w:val="clear" w:color="auto" w:fill="auto"/>
          </w:tcPr>
          <w:p w:rsidR="00A623A1" w:rsidRPr="002617F5" w:rsidRDefault="00A623A1" w:rsidP="006D37D7">
            <w:pPr>
              <w:jc w:val="center"/>
              <w:rPr>
                <w:sz w:val="20"/>
                <w:szCs w:val="20"/>
              </w:rPr>
            </w:pPr>
            <w:r w:rsidRPr="002617F5">
              <w:rPr>
                <w:sz w:val="20"/>
                <w:szCs w:val="20"/>
              </w:rPr>
              <w:t>0</w:t>
            </w:r>
          </w:p>
        </w:tc>
      </w:tr>
      <w:tr w:rsidR="00A623A1" w:rsidRPr="002617F5" w:rsidTr="00EA7585">
        <w:trPr>
          <w:jc w:val="center"/>
        </w:trPr>
        <w:tc>
          <w:tcPr>
            <w:tcW w:w="1800" w:type="dxa"/>
            <w:shd w:val="clear" w:color="auto" w:fill="auto"/>
          </w:tcPr>
          <w:p w:rsidR="00A623A1" w:rsidRPr="002617F5" w:rsidRDefault="00A623A1" w:rsidP="006D37D7">
            <w:pPr>
              <w:jc w:val="center"/>
              <w:rPr>
                <w:sz w:val="20"/>
                <w:szCs w:val="20"/>
              </w:rPr>
            </w:pPr>
            <w:r w:rsidRPr="002617F5">
              <w:rPr>
                <w:sz w:val="20"/>
                <w:szCs w:val="20"/>
              </w:rPr>
              <w:t>1960-61</w:t>
            </w:r>
          </w:p>
        </w:tc>
        <w:tc>
          <w:tcPr>
            <w:tcW w:w="1440" w:type="dxa"/>
            <w:shd w:val="clear" w:color="auto" w:fill="auto"/>
          </w:tcPr>
          <w:p w:rsidR="00A623A1" w:rsidRPr="002617F5" w:rsidRDefault="00A623A1" w:rsidP="006D37D7">
            <w:pPr>
              <w:jc w:val="center"/>
              <w:rPr>
                <w:sz w:val="20"/>
                <w:szCs w:val="20"/>
              </w:rPr>
            </w:pPr>
            <w:r w:rsidRPr="002617F5">
              <w:rPr>
                <w:sz w:val="20"/>
                <w:szCs w:val="20"/>
              </w:rPr>
              <w:t>6</w:t>
            </w:r>
          </w:p>
        </w:tc>
        <w:tc>
          <w:tcPr>
            <w:tcW w:w="1260" w:type="dxa"/>
            <w:shd w:val="clear" w:color="auto" w:fill="auto"/>
          </w:tcPr>
          <w:p w:rsidR="00A623A1" w:rsidRPr="002617F5" w:rsidRDefault="00A623A1" w:rsidP="006D37D7">
            <w:pPr>
              <w:jc w:val="center"/>
              <w:rPr>
                <w:sz w:val="20"/>
                <w:szCs w:val="20"/>
              </w:rPr>
            </w:pPr>
            <w:r w:rsidRPr="002617F5">
              <w:rPr>
                <w:sz w:val="20"/>
                <w:szCs w:val="20"/>
              </w:rPr>
              <w:t>0</w:t>
            </w:r>
          </w:p>
        </w:tc>
        <w:tc>
          <w:tcPr>
            <w:tcW w:w="1620" w:type="dxa"/>
            <w:shd w:val="clear" w:color="auto" w:fill="auto"/>
          </w:tcPr>
          <w:p w:rsidR="00A623A1" w:rsidRPr="002617F5" w:rsidRDefault="00A623A1" w:rsidP="006D37D7">
            <w:pPr>
              <w:jc w:val="center"/>
              <w:rPr>
                <w:sz w:val="20"/>
                <w:szCs w:val="20"/>
              </w:rPr>
            </w:pPr>
            <w:r w:rsidRPr="002617F5">
              <w:rPr>
                <w:sz w:val="20"/>
                <w:szCs w:val="20"/>
              </w:rPr>
              <w:t>1</w:t>
            </w:r>
          </w:p>
        </w:tc>
        <w:tc>
          <w:tcPr>
            <w:tcW w:w="1800" w:type="dxa"/>
            <w:shd w:val="clear" w:color="auto" w:fill="auto"/>
          </w:tcPr>
          <w:p w:rsidR="00A623A1" w:rsidRPr="002617F5" w:rsidRDefault="00A623A1" w:rsidP="006D37D7">
            <w:pPr>
              <w:jc w:val="center"/>
              <w:rPr>
                <w:sz w:val="20"/>
                <w:szCs w:val="20"/>
              </w:rPr>
            </w:pPr>
            <w:r w:rsidRPr="002617F5">
              <w:rPr>
                <w:sz w:val="20"/>
                <w:szCs w:val="20"/>
              </w:rPr>
              <w:t>0</w:t>
            </w:r>
          </w:p>
        </w:tc>
      </w:tr>
      <w:tr w:rsidR="00A623A1" w:rsidRPr="002617F5" w:rsidTr="00EA7585">
        <w:trPr>
          <w:jc w:val="center"/>
        </w:trPr>
        <w:tc>
          <w:tcPr>
            <w:tcW w:w="1800" w:type="dxa"/>
            <w:shd w:val="clear" w:color="auto" w:fill="auto"/>
          </w:tcPr>
          <w:p w:rsidR="00A623A1" w:rsidRPr="002617F5" w:rsidRDefault="00A623A1" w:rsidP="006D37D7">
            <w:pPr>
              <w:jc w:val="center"/>
              <w:rPr>
                <w:sz w:val="20"/>
                <w:szCs w:val="20"/>
              </w:rPr>
            </w:pPr>
            <w:r w:rsidRPr="002617F5">
              <w:rPr>
                <w:sz w:val="20"/>
                <w:szCs w:val="20"/>
              </w:rPr>
              <w:t>1970-71</w:t>
            </w:r>
          </w:p>
        </w:tc>
        <w:tc>
          <w:tcPr>
            <w:tcW w:w="1440" w:type="dxa"/>
            <w:shd w:val="clear" w:color="auto" w:fill="auto"/>
          </w:tcPr>
          <w:p w:rsidR="00A623A1" w:rsidRPr="002617F5" w:rsidRDefault="00A623A1" w:rsidP="006D37D7">
            <w:pPr>
              <w:jc w:val="center"/>
              <w:rPr>
                <w:sz w:val="20"/>
                <w:szCs w:val="20"/>
              </w:rPr>
            </w:pPr>
            <w:r w:rsidRPr="002617F5">
              <w:rPr>
                <w:sz w:val="20"/>
                <w:szCs w:val="20"/>
              </w:rPr>
              <w:t>8</w:t>
            </w:r>
          </w:p>
        </w:tc>
        <w:tc>
          <w:tcPr>
            <w:tcW w:w="1260" w:type="dxa"/>
            <w:shd w:val="clear" w:color="auto" w:fill="auto"/>
          </w:tcPr>
          <w:p w:rsidR="00A623A1" w:rsidRPr="002617F5" w:rsidRDefault="00A623A1" w:rsidP="006D37D7">
            <w:pPr>
              <w:jc w:val="center"/>
              <w:rPr>
                <w:sz w:val="20"/>
                <w:szCs w:val="20"/>
              </w:rPr>
            </w:pPr>
            <w:r w:rsidRPr="002617F5">
              <w:rPr>
                <w:sz w:val="20"/>
                <w:szCs w:val="20"/>
              </w:rPr>
              <w:t>0</w:t>
            </w:r>
          </w:p>
        </w:tc>
        <w:tc>
          <w:tcPr>
            <w:tcW w:w="1620" w:type="dxa"/>
            <w:shd w:val="clear" w:color="auto" w:fill="auto"/>
          </w:tcPr>
          <w:p w:rsidR="00A623A1" w:rsidRPr="002617F5" w:rsidRDefault="00A623A1" w:rsidP="006D37D7">
            <w:pPr>
              <w:jc w:val="center"/>
              <w:rPr>
                <w:sz w:val="20"/>
                <w:szCs w:val="20"/>
              </w:rPr>
            </w:pPr>
            <w:r w:rsidRPr="002617F5">
              <w:rPr>
                <w:sz w:val="20"/>
                <w:szCs w:val="20"/>
              </w:rPr>
              <w:t>2</w:t>
            </w:r>
          </w:p>
        </w:tc>
        <w:tc>
          <w:tcPr>
            <w:tcW w:w="1800" w:type="dxa"/>
            <w:shd w:val="clear" w:color="auto" w:fill="auto"/>
          </w:tcPr>
          <w:p w:rsidR="00A623A1" w:rsidRPr="002617F5" w:rsidRDefault="00A623A1" w:rsidP="006D37D7">
            <w:pPr>
              <w:jc w:val="center"/>
              <w:rPr>
                <w:sz w:val="20"/>
                <w:szCs w:val="20"/>
              </w:rPr>
            </w:pPr>
            <w:r w:rsidRPr="002617F5">
              <w:rPr>
                <w:sz w:val="20"/>
                <w:szCs w:val="20"/>
              </w:rPr>
              <w:t>0</w:t>
            </w:r>
          </w:p>
        </w:tc>
      </w:tr>
      <w:tr w:rsidR="00A623A1" w:rsidRPr="002617F5" w:rsidTr="00EA7585">
        <w:trPr>
          <w:jc w:val="center"/>
        </w:trPr>
        <w:tc>
          <w:tcPr>
            <w:tcW w:w="1800" w:type="dxa"/>
            <w:shd w:val="clear" w:color="auto" w:fill="auto"/>
          </w:tcPr>
          <w:p w:rsidR="00A623A1" w:rsidRPr="002617F5" w:rsidRDefault="00A623A1" w:rsidP="006D37D7">
            <w:pPr>
              <w:jc w:val="center"/>
              <w:rPr>
                <w:sz w:val="20"/>
                <w:szCs w:val="20"/>
              </w:rPr>
            </w:pPr>
            <w:r w:rsidRPr="002617F5">
              <w:rPr>
                <w:sz w:val="20"/>
                <w:szCs w:val="20"/>
              </w:rPr>
              <w:t>1980-81</w:t>
            </w:r>
          </w:p>
        </w:tc>
        <w:tc>
          <w:tcPr>
            <w:tcW w:w="1440" w:type="dxa"/>
            <w:shd w:val="clear" w:color="auto" w:fill="auto"/>
          </w:tcPr>
          <w:p w:rsidR="00A623A1" w:rsidRPr="002617F5" w:rsidRDefault="00A623A1" w:rsidP="006D37D7">
            <w:pPr>
              <w:jc w:val="center"/>
              <w:rPr>
                <w:sz w:val="20"/>
                <w:szCs w:val="20"/>
              </w:rPr>
            </w:pPr>
            <w:r w:rsidRPr="002617F5">
              <w:rPr>
                <w:sz w:val="20"/>
                <w:szCs w:val="20"/>
              </w:rPr>
              <w:t>19</w:t>
            </w:r>
          </w:p>
        </w:tc>
        <w:tc>
          <w:tcPr>
            <w:tcW w:w="1260" w:type="dxa"/>
            <w:shd w:val="clear" w:color="auto" w:fill="auto"/>
          </w:tcPr>
          <w:p w:rsidR="00A623A1" w:rsidRPr="002617F5" w:rsidRDefault="00A623A1" w:rsidP="006D37D7">
            <w:pPr>
              <w:jc w:val="center"/>
              <w:rPr>
                <w:sz w:val="20"/>
                <w:szCs w:val="20"/>
              </w:rPr>
            </w:pPr>
            <w:r w:rsidRPr="002617F5">
              <w:rPr>
                <w:sz w:val="20"/>
                <w:szCs w:val="20"/>
              </w:rPr>
              <w:t>0</w:t>
            </w:r>
          </w:p>
        </w:tc>
        <w:tc>
          <w:tcPr>
            <w:tcW w:w="1620" w:type="dxa"/>
            <w:shd w:val="clear" w:color="auto" w:fill="auto"/>
          </w:tcPr>
          <w:p w:rsidR="00A623A1" w:rsidRPr="002617F5" w:rsidRDefault="00A623A1" w:rsidP="006D37D7">
            <w:pPr>
              <w:jc w:val="center"/>
              <w:rPr>
                <w:sz w:val="20"/>
                <w:szCs w:val="20"/>
              </w:rPr>
            </w:pPr>
            <w:r w:rsidRPr="002617F5">
              <w:rPr>
                <w:sz w:val="20"/>
                <w:szCs w:val="20"/>
              </w:rPr>
              <w:t>2</w:t>
            </w:r>
          </w:p>
        </w:tc>
        <w:tc>
          <w:tcPr>
            <w:tcW w:w="1800" w:type="dxa"/>
            <w:shd w:val="clear" w:color="auto" w:fill="auto"/>
          </w:tcPr>
          <w:p w:rsidR="00A623A1" w:rsidRPr="002617F5" w:rsidRDefault="00A623A1" w:rsidP="006D37D7">
            <w:pPr>
              <w:jc w:val="center"/>
              <w:rPr>
                <w:sz w:val="20"/>
                <w:szCs w:val="20"/>
              </w:rPr>
            </w:pPr>
            <w:r w:rsidRPr="002617F5">
              <w:rPr>
                <w:sz w:val="20"/>
                <w:szCs w:val="20"/>
              </w:rPr>
              <w:t>0</w:t>
            </w:r>
          </w:p>
        </w:tc>
      </w:tr>
      <w:tr w:rsidR="00A623A1" w:rsidRPr="002617F5" w:rsidTr="00EA7585">
        <w:trPr>
          <w:jc w:val="center"/>
        </w:trPr>
        <w:tc>
          <w:tcPr>
            <w:tcW w:w="1800" w:type="dxa"/>
            <w:shd w:val="clear" w:color="auto" w:fill="auto"/>
          </w:tcPr>
          <w:p w:rsidR="00A623A1" w:rsidRPr="002617F5" w:rsidRDefault="00A623A1" w:rsidP="006D37D7">
            <w:pPr>
              <w:jc w:val="center"/>
              <w:rPr>
                <w:sz w:val="20"/>
                <w:szCs w:val="20"/>
              </w:rPr>
            </w:pPr>
            <w:r w:rsidRPr="002617F5">
              <w:rPr>
                <w:sz w:val="20"/>
                <w:szCs w:val="20"/>
              </w:rPr>
              <w:t>1990-91</w:t>
            </w:r>
          </w:p>
        </w:tc>
        <w:tc>
          <w:tcPr>
            <w:tcW w:w="1440" w:type="dxa"/>
            <w:shd w:val="clear" w:color="auto" w:fill="auto"/>
          </w:tcPr>
          <w:p w:rsidR="00A623A1" w:rsidRPr="002617F5" w:rsidRDefault="00A623A1" w:rsidP="006D37D7">
            <w:pPr>
              <w:jc w:val="center"/>
              <w:rPr>
                <w:sz w:val="20"/>
                <w:szCs w:val="20"/>
              </w:rPr>
            </w:pPr>
            <w:r w:rsidRPr="002617F5">
              <w:rPr>
                <w:sz w:val="20"/>
                <w:szCs w:val="20"/>
              </w:rPr>
              <w:t>20</w:t>
            </w:r>
          </w:p>
        </w:tc>
        <w:tc>
          <w:tcPr>
            <w:tcW w:w="1260" w:type="dxa"/>
            <w:shd w:val="clear" w:color="auto" w:fill="auto"/>
          </w:tcPr>
          <w:p w:rsidR="00A623A1" w:rsidRPr="002617F5" w:rsidRDefault="00A623A1" w:rsidP="006D37D7">
            <w:pPr>
              <w:jc w:val="center"/>
              <w:rPr>
                <w:sz w:val="20"/>
                <w:szCs w:val="20"/>
              </w:rPr>
            </w:pPr>
            <w:r w:rsidRPr="002617F5">
              <w:rPr>
                <w:sz w:val="20"/>
                <w:szCs w:val="20"/>
              </w:rPr>
              <w:t>2</w:t>
            </w:r>
          </w:p>
        </w:tc>
        <w:tc>
          <w:tcPr>
            <w:tcW w:w="1620" w:type="dxa"/>
            <w:shd w:val="clear" w:color="auto" w:fill="auto"/>
          </w:tcPr>
          <w:p w:rsidR="00A623A1" w:rsidRPr="002617F5" w:rsidRDefault="00A623A1" w:rsidP="006D37D7">
            <w:pPr>
              <w:jc w:val="center"/>
              <w:rPr>
                <w:sz w:val="20"/>
                <w:szCs w:val="20"/>
              </w:rPr>
            </w:pPr>
            <w:r w:rsidRPr="002617F5">
              <w:rPr>
                <w:sz w:val="20"/>
                <w:szCs w:val="20"/>
              </w:rPr>
              <w:t>3</w:t>
            </w:r>
          </w:p>
        </w:tc>
        <w:tc>
          <w:tcPr>
            <w:tcW w:w="1800" w:type="dxa"/>
            <w:shd w:val="clear" w:color="auto" w:fill="auto"/>
          </w:tcPr>
          <w:p w:rsidR="00A623A1" w:rsidRPr="002617F5" w:rsidRDefault="00A623A1" w:rsidP="006D37D7">
            <w:pPr>
              <w:jc w:val="center"/>
              <w:rPr>
                <w:sz w:val="20"/>
                <w:szCs w:val="20"/>
              </w:rPr>
            </w:pPr>
            <w:r w:rsidRPr="002617F5">
              <w:rPr>
                <w:sz w:val="20"/>
                <w:szCs w:val="20"/>
              </w:rPr>
              <w:t>0</w:t>
            </w:r>
          </w:p>
        </w:tc>
      </w:tr>
      <w:tr w:rsidR="00A623A1" w:rsidRPr="002617F5" w:rsidTr="00EA7585">
        <w:trPr>
          <w:jc w:val="center"/>
        </w:trPr>
        <w:tc>
          <w:tcPr>
            <w:tcW w:w="1800" w:type="dxa"/>
            <w:shd w:val="clear" w:color="auto" w:fill="auto"/>
          </w:tcPr>
          <w:p w:rsidR="00A623A1" w:rsidRPr="002617F5" w:rsidRDefault="00A623A1" w:rsidP="006D37D7">
            <w:pPr>
              <w:jc w:val="center"/>
              <w:rPr>
                <w:sz w:val="20"/>
                <w:szCs w:val="20"/>
              </w:rPr>
            </w:pPr>
            <w:r w:rsidRPr="002617F5">
              <w:rPr>
                <w:sz w:val="20"/>
                <w:szCs w:val="20"/>
              </w:rPr>
              <w:t>2000-01</w:t>
            </w:r>
          </w:p>
        </w:tc>
        <w:tc>
          <w:tcPr>
            <w:tcW w:w="1440" w:type="dxa"/>
            <w:shd w:val="clear" w:color="auto" w:fill="auto"/>
          </w:tcPr>
          <w:p w:rsidR="00A623A1" w:rsidRPr="002617F5" w:rsidRDefault="00A623A1" w:rsidP="006D37D7">
            <w:pPr>
              <w:jc w:val="center"/>
              <w:rPr>
                <w:sz w:val="20"/>
                <w:szCs w:val="20"/>
              </w:rPr>
            </w:pPr>
            <w:r w:rsidRPr="002617F5">
              <w:rPr>
                <w:sz w:val="20"/>
                <w:szCs w:val="20"/>
              </w:rPr>
              <w:t>32</w:t>
            </w:r>
          </w:p>
        </w:tc>
        <w:tc>
          <w:tcPr>
            <w:tcW w:w="1260" w:type="dxa"/>
            <w:shd w:val="clear" w:color="auto" w:fill="auto"/>
          </w:tcPr>
          <w:p w:rsidR="00A623A1" w:rsidRPr="002617F5" w:rsidRDefault="00A623A1" w:rsidP="006D37D7">
            <w:pPr>
              <w:jc w:val="center"/>
              <w:rPr>
                <w:sz w:val="20"/>
                <w:szCs w:val="20"/>
              </w:rPr>
            </w:pPr>
            <w:r w:rsidRPr="002617F5">
              <w:rPr>
                <w:sz w:val="20"/>
                <w:szCs w:val="20"/>
              </w:rPr>
              <w:t>2</w:t>
            </w:r>
          </w:p>
        </w:tc>
        <w:tc>
          <w:tcPr>
            <w:tcW w:w="1620" w:type="dxa"/>
            <w:shd w:val="clear" w:color="auto" w:fill="auto"/>
          </w:tcPr>
          <w:p w:rsidR="00A623A1" w:rsidRPr="002617F5" w:rsidRDefault="00A623A1" w:rsidP="006D37D7">
            <w:pPr>
              <w:jc w:val="center"/>
              <w:rPr>
                <w:sz w:val="20"/>
                <w:szCs w:val="20"/>
              </w:rPr>
            </w:pPr>
            <w:r w:rsidRPr="002617F5">
              <w:rPr>
                <w:sz w:val="20"/>
                <w:szCs w:val="20"/>
              </w:rPr>
              <w:t>5</w:t>
            </w:r>
          </w:p>
        </w:tc>
        <w:tc>
          <w:tcPr>
            <w:tcW w:w="1800" w:type="dxa"/>
            <w:shd w:val="clear" w:color="auto" w:fill="auto"/>
          </w:tcPr>
          <w:p w:rsidR="00A623A1" w:rsidRPr="002617F5" w:rsidRDefault="00A623A1" w:rsidP="006D37D7">
            <w:pPr>
              <w:jc w:val="center"/>
              <w:rPr>
                <w:sz w:val="20"/>
                <w:szCs w:val="20"/>
              </w:rPr>
            </w:pPr>
            <w:r w:rsidRPr="002617F5">
              <w:rPr>
                <w:sz w:val="20"/>
                <w:szCs w:val="20"/>
              </w:rPr>
              <w:t>0</w:t>
            </w:r>
          </w:p>
        </w:tc>
      </w:tr>
      <w:tr w:rsidR="00A623A1" w:rsidRPr="002617F5" w:rsidTr="00EA7585">
        <w:trPr>
          <w:jc w:val="center"/>
        </w:trPr>
        <w:tc>
          <w:tcPr>
            <w:tcW w:w="1800" w:type="dxa"/>
            <w:shd w:val="clear" w:color="auto" w:fill="auto"/>
          </w:tcPr>
          <w:p w:rsidR="00A623A1" w:rsidRPr="002617F5" w:rsidRDefault="00A623A1" w:rsidP="006D37D7">
            <w:pPr>
              <w:jc w:val="center"/>
              <w:rPr>
                <w:sz w:val="20"/>
                <w:szCs w:val="20"/>
              </w:rPr>
            </w:pPr>
            <w:r w:rsidRPr="002617F5">
              <w:rPr>
                <w:sz w:val="20"/>
                <w:szCs w:val="20"/>
              </w:rPr>
              <w:t>2005-06</w:t>
            </w:r>
          </w:p>
        </w:tc>
        <w:tc>
          <w:tcPr>
            <w:tcW w:w="1440" w:type="dxa"/>
            <w:shd w:val="clear" w:color="auto" w:fill="auto"/>
          </w:tcPr>
          <w:p w:rsidR="00A623A1" w:rsidRPr="002617F5" w:rsidRDefault="00A623A1" w:rsidP="006D37D7">
            <w:pPr>
              <w:jc w:val="center"/>
              <w:rPr>
                <w:sz w:val="20"/>
                <w:szCs w:val="20"/>
              </w:rPr>
            </w:pPr>
            <w:r w:rsidRPr="002617F5">
              <w:rPr>
                <w:sz w:val="20"/>
                <w:szCs w:val="20"/>
              </w:rPr>
              <w:t>49</w:t>
            </w:r>
          </w:p>
        </w:tc>
        <w:tc>
          <w:tcPr>
            <w:tcW w:w="1260" w:type="dxa"/>
            <w:shd w:val="clear" w:color="auto" w:fill="auto"/>
          </w:tcPr>
          <w:p w:rsidR="00A623A1" w:rsidRPr="002617F5" w:rsidRDefault="00A623A1" w:rsidP="006D37D7">
            <w:pPr>
              <w:jc w:val="center"/>
              <w:rPr>
                <w:sz w:val="20"/>
                <w:szCs w:val="20"/>
              </w:rPr>
            </w:pPr>
            <w:r w:rsidRPr="002617F5">
              <w:rPr>
                <w:sz w:val="20"/>
                <w:szCs w:val="20"/>
              </w:rPr>
              <w:t>4</w:t>
            </w:r>
          </w:p>
        </w:tc>
        <w:tc>
          <w:tcPr>
            <w:tcW w:w="1620" w:type="dxa"/>
            <w:shd w:val="clear" w:color="auto" w:fill="auto"/>
          </w:tcPr>
          <w:p w:rsidR="00A623A1" w:rsidRPr="002617F5" w:rsidRDefault="00A623A1" w:rsidP="006D37D7">
            <w:pPr>
              <w:jc w:val="center"/>
              <w:rPr>
                <w:sz w:val="20"/>
                <w:szCs w:val="20"/>
              </w:rPr>
            </w:pPr>
            <w:r w:rsidRPr="002617F5">
              <w:rPr>
                <w:sz w:val="20"/>
                <w:szCs w:val="20"/>
              </w:rPr>
              <w:t>8</w:t>
            </w:r>
          </w:p>
        </w:tc>
        <w:tc>
          <w:tcPr>
            <w:tcW w:w="1800" w:type="dxa"/>
            <w:shd w:val="clear" w:color="auto" w:fill="auto"/>
          </w:tcPr>
          <w:p w:rsidR="00A623A1" w:rsidRPr="002617F5" w:rsidRDefault="00A623A1" w:rsidP="006D37D7">
            <w:pPr>
              <w:jc w:val="center"/>
              <w:rPr>
                <w:sz w:val="20"/>
                <w:szCs w:val="20"/>
              </w:rPr>
            </w:pPr>
            <w:r w:rsidRPr="002617F5">
              <w:rPr>
                <w:sz w:val="20"/>
                <w:szCs w:val="20"/>
              </w:rPr>
              <w:t>18</w:t>
            </w:r>
          </w:p>
        </w:tc>
      </w:tr>
      <w:tr w:rsidR="00A623A1" w:rsidRPr="002617F5" w:rsidTr="00EA7585">
        <w:trPr>
          <w:jc w:val="center"/>
        </w:trPr>
        <w:tc>
          <w:tcPr>
            <w:tcW w:w="1800" w:type="dxa"/>
            <w:shd w:val="clear" w:color="auto" w:fill="auto"/>
          </w:tcPr>
          <w:p w:rsidR="00A623A1" w:rsidRPr="002617F5" w:rsidRDefault="00A623A1" w:rsidP="006D37D7">
            <w:pPr>
              <w:jc w:val="center"/>
              <w:rPr>
                <w:sz w:val="20"/>
                <w:szCs w:val="20"/>
              </w:rPr>
            </w:pPr>
            <w:r w:rsidRPr="002617F5">
              <w:rPr>
                <w:sz w:val="20"/>
                <w:szCs w:val="20"/>
              </w:rPr>
              <w:t>2007-08</w:t>
            </w:r>
          </w:p>
        </w:tc>
        <w:tc>
          <w:tcPr>
            <w:tcW w:w="1440" w:type="dxa"/>
            <w:shd w:val="clear" w:color="auto" w:fill="auto"/>
          </w:tcPr>
          <w:p w:rsidR="00A623A1" w:rsidRPr="002617F5" w:rsidRDefault="00A623A1" w:rsidP="006D37D7">
            <w:pPr>
              <w:jc w:val="center"/>
              <w:rPr>
                <w:sz w:val="20"/>
                <w:szCs w:val="20"/>
              </w:rPr>
            </w:pPr>
            <w:r w:rsidRPr="002617F5">
              <w:rPr>
                <w:sz w:val="20"/>
                <w:szCs w:val="20"/>
              </w:rPr>
              <w:t>07</w:t>
            </w:r>
          </w:p>
        </w:tc>
        <w:tc>
          <w:tcPr>
            <w:tcW w:w="1260" w:type="dxa"/>
            <w:shd w:val="clear" w:color="auto" w:fill="auto"/>
          </w:tcPr>
          <w:p w:rsidR="00A623A1" w:rsidRPr="002617F5" w:rsidRDefault="00A623A1" w:rsidP="006D37D7">
            <w:pPr>
              <w:jc w:val="center"/>
              <w:rPr>
                <w:sz w:val="20"/>
                <w:szCs w:val="20"/>
              </w:rPr>
            </w:pPr>
            <w:r w:rsidRPr="002617F5">
              <w:rPr>
                <w:sz w:val="20"/>
                <w:szCs w:val="20"/>
              </w:rPr>
              <w:t>02</w:t>
            </w:r>
          </w:p>
        </w:tc>
        <w:tc>
          <w:tcPr>
            <w:tcW w:w="1620" w:type="dxa"/>
            <w:shd w:val="clear" w:color="auto" w:fill="auto"/>
          </w:tcPr>
          <w:p w:rsidR="00A623A1" w:rsidRPr="002617F5" w:rsidRDefault="00A623A1" w:rsidP="006D37D7">
            <w:pPr>
              <w:jc w:val="center"/>
              <w:rPr>
                <w:sz w:val="20"/>
                <w:szCs w:val="20"/>
              </w:rPr>
            </w:pPr>
            <w:r w:rsidRPr="002617F5">
              <w:rPr>
                <w:sz w:val="20"/>
                <w:szCs w:val="20"/>
              </w:rPr>
              <w:t>-</w:t>
            </w:r>
          </w:p>
        </w:tc>
        <w:tc>
          <w:tcPr>
            <w:tcW w:w="1800" w:type="dxa"/>
            <w:shd w:val="clear" w:color="auto" w:fill="auto"/>
          </w:tcPr>
          <w:p w:rsidR="00A623A1" w:rsidRPr="002617F5" w:rsidRDefault="00A623A1" w:rsidP="006D37D7">
            <w:pPr>
              <w:jc w:val="center"/>
              <w:rPr>
                <w:sz w:val="20"/>
                <w:szCs w:val="20"/>
              </w:rPr>
            </w:pPr>
            <w:r w:rsidRPr="002617F5">
              <w:rPr>
                <w:sz w:val="20"/>
                <w:szCs w:val="20"/>
              </w:rPr>
              <w:t>-</w:t>
            </w:r>
          </w:p>
        </w:tc>
      </w:tr>
      <w:tr w:rsidR="00A623A1" w:rsidRPr="002617F5" w:rsidTr="00EA7585">
        <w:trPr>
          <w:jc w:val="center"/>
        </w:trPr>
        <w:tc>
          <w:tcPr>
            <w:tcW w:w="1800" w:type="dxa"/>
            <w:shd w:val="clear" w:color="auto" w:fill="auto"/>
          </w:tcPr>
          <w:p w:rsidR="00A623A1" w:rsidRPr="002617F5" w:rsidRDefault="00A623A1" w:rsidP="006D37D7">
            <w:pPr>
              <w:jc w:val="center"/>
              <w:rPr>
                <w:sz w:val="20"/>
                <w:szCs w:val="20"/>
              </w:rPr>
            </w:pPr>
            <w:r w:rsidRPr="002617F5">
              <w:rPr>
                <w:sz w:val="20"/>
                <w:szCs w:val="20"/>
              </w:rPr>
              <w:t>2009-10</w:t>
            </w:r>
          </w:p>
        </w:tc>
        <w:tc>
          <w:tcPr>
            <w:tcW w:w="1440" w:type="dxa"/>
            <w:shd w:val="clear" w:color="auto" w:fill="auto"/>
          </w:tcPr>
          <w:p w:rsidR="00A623A1" w:rsidRPr="002617F5" w:rsidRDefault="00A623A1" w:rsidP="006D37D7">
            <w:pPr>
              <w:jc w:val="center"/>
              <w:rPr>
                <w:sz w:val="20"/>
                <w:szCs w:val="20"/>
              </w:rPr>
            </w:pPr>
            <w:r w:rsidRPr="002617F5">
              <w:rPr>
                <w:sz w:val="20"/>
                <w:szCs w:val="20"/>
              </w:rPr>
              <w:t>02</w:t>
            </w:r>
          </w:p>
        </w:tc>
        <w:tc>
          <w:tcPr>
            <w:tcW w:w="1260" w:type="dxa"/>
            <w:shd w:val="clear" w:color="auto" w:fill="auto"/>
          </w:tcPr>
          <w:p w:rsidR="00A623A1" w:rsidRPr="002617F5" w:rsidRDefault="00A623A1" w:rsidP="006D37D7">
            <w:pPr>
              <w:jc w:val="center"/>
              <w:rPr>
                <w:sz w:val="20"/>
                <w:szCs w:val="20"/>
              </w:rPr>
            </w:pPr>
            <w:r w:rsidRPr="002617F5">
              <w:rPr>
                <w:sz w:val="20"/>
                <w:szCs w:val="20"/>
              </w:rPr>
              <w:t>01</w:t>
            </w:r>
          </w:p>
        </w:tc>
        <w:tc>
          <w:tcPr>
            <w:tcW w:w="1620" w:type="dxa"/>
            <w:shd w:val="clear" w:color="auto" w:fill="auto"/>
          </w:tcPr>
          <w:p w:rsidR="00A623A1" w:rsidRPr="002617F5" w:rsidRDefault="00A623A1" w:rsidP="006D37D7">
            <w:pPr>
              <w:jc w:val="center"/>
              <w:rPr>
                <w:sz w:val="20"/>
                <w:szCs w:val="20"/>
              </w:rPr>
            </w:pPr>
            <w:r w:rsidRPr="002617F5">
              <w:rPr>
                <w:sz w:val="20"/>
                <w:szCs w:val="20"/>
              </w:rPr>
              <w:t>-</w:t>
            </w:r>
          </w:p>
        </w:tc>
        <w:tc>
          <w:tcPr>
            <w:tcW w:w="1800" w:type="dxa"/>
            <w:shd w:val="clear" w:color="auto" w:fill="auto"/>
          </w:tcPr>
          <w:p w:rsidR="00A623A1" w:rsidRPr="002617F5" w:rsidRDefault="00A623A1" w:rsidP="006D37D7">
            <w:pPr>
              <w:jc w:val="center"/>
              <w:rPr>
                <w:sz w:val="20"/>
                <w:szCs w:val="20"/>
              </w:rPr>
            </w:pPr>
            <w:r w:rsidRPr="002617F5">
              <w:rPr>
                <w:sz w:val="20"/>
                <w:szCs w:val="20"/>
              </w:rPr>
              <w:t>-</w:t>
            </w:r>
          </w:p>
        </w:tc>
      </w:tr>
      <w:tr w:rsidR="00A623A1" w:rsidRPr="002617F5" w:rsidTr="00266C13">
        <w:trPr>
          <w:jc w:val="center"/>
        </w:trPr>
        <w:tc>
          <w:tcPr>
            <w:tcW w:w="1800" w:type="dxa"/>
            <w:shd w:val="clear" w:color="auto" w:fill="auto"/>
          </w:tcPr>
          <w:p w:rsidR="00A623A1" w:rsidRPr="002617F5" w:rsidRDefault="00A623A1" w:rsidP="006D37D7">
            <w:pPr>
              <w:jc w:val="center"/>
              <w:rPr>
                <w:sz w:val="20"/>
                <w:szCs w:val="20"/>
              </w:rPr>
            </w:pPr>
            <w:r w:rsidRPr="002617F5">
              <w:rPr>
                <w:sz w:val="20"/>
                <w:szCs w:val="20"/>
              </w:rPr>
              <w:t>2011-12</w:t>
            </w:r>
          </w:p>
        </w:tc>
        <w:tc>
          <w:tcPr>
            <w:tcW w:w="1440" w:type="dxa"/>
            <w:shd w:val="clear" w:color="auto" w:fill="auto"/>
          </w:tcPr>
          <w:p w:rsidR="00A623A1" w:rsidRPr="002617F5" w:rsidRDefault="00A623A1" w:rsidP="006D37D7">
            <w:pPr>
              <w:jc w:val="center"/>
              <w:rPr>
                <w:sz w:val="20"/>
                <w:szCs w:val="20"/>
              </w:rPr>
            </w:pPr>
            <w:r w:rsidRPr="002617F5">
              <w:rPr>
                <w:sz w:val="20"/>
                <w:szCs w:val="20"/>
              </w:rPr>
              <w:t>02</w:t>
            </w:r>
          </w:p>
        </w:tc>
        <w:tc>
          <w:tcPr>
            <w:tcW w:w="1260" w:type="dxa"/>
            <w:shd w:val="clear" w:color="auto" w:fill="auto"/>
          </w:tcPr>
          <w:p w:rsidR="00A623A1" w:rsidRPr="002617F5" w:rsidRDefault="00A623A1" w:rsidP="006D37D7">
            <w:pPr>
              <w:jc w:val="center"/>
              <w:rPr>
                <w:sz w:val="20"/>
                <w:szCs w:val="20"/>
              </w:rPr>
            </w:pPr>
            <w:r w:rsidRPr="002617F5">
              <w:rPr>
                <w:sz w:val="20"/>
                <w:szCs w:val="20"/>
              </w:rPr>
              <w:t>03</w:t>
            </w:r>
          </w:p>
        </w:tc>
        <w:tc>
          <w:tcPr>
            <w:tcW w:w="1620" w:type="dxa"/>
            <w:shd w:val="clear" w:color="auto" w:fill="auto"/>
          </w:tcPr>
          <w:p w:rsidR="00A623A1" w:rsidRPr="002617F5" w:rsidRDefault="00A623A1" w:rsidP="006D37D7">
            <w:pPr>
              <w:jc w:val="center"/>
              <w:rPr>
                <w:sz w:val="20"/>
                <w:szCs w:val="20"/>
              </w:rPr>
            </w:pPr>
            <w:r w:rsidRPr="002617F5">
              <w:rPr>
                <w:sz w:val="20"/>
                <w:szCs w:val="20"/>
              </w:rPr>
              <w:t>-</w:t>
            </w:r>
          </w:p>
        </w:tc>
        <w:tc>
          <w:tcPr>
            <w:tcW w:w="1800" w:type="dxa"/>
            <w:shd w:val="clear" w:color="auto" w:fill="auto"/>
          </w:tcPr>
          <w:p w:rsidR="00A623A1" w:rsidRPr="002617F5" w:rsidRDefault="00A623A1" w:rsidP="006D37D7">
            <w:pPr>
              <w:jc w:val="center"/>
              <w:rPr>
                <w:sz w:val="20"/>
                <w:szCs w:val="20"/>
              </w:rPr>
            </w:pPr>
            <w:r w:rsidRPr="002617F5">
              <w:rPr>
                <w:sz w:val="20"/>
                <w:szCs w:val="20"/>
              </w:rPr>
              <w:t>-</w:t>
            </w:r>
          </w:p>
        </w:tc>
      </w:tr>
      <w:tr w:rsidR="00A623A1" w:rsidRPr="002617F5" w:rsidTr="00266C13">
        <w:trPr>
          <w:jc w:val="center"/>
        </w:trPr>
        <w:tc>
          <w:tcPr>
            <w:tcW w:w="1800" w:type="dxa"/>
            <w:tcBorders>
              <w:bottom w:val="single" w:sz="4" w:space="0" w:color="auto"/>
            </w:tcBorders>
            <w:shd w:val="clear" w:color="auto" w:fill="auto"/>
          </w:tcPr>
          <w:p w:rsidR="00A623A1" w:rsidRPr="002617F5" w:rsidRDefault="00A623A1" w:rsidP="006D37D7">
            <w:pPr>
              <w:jc w:val="center"/>
              <w:rPr>
                <w:sz w:val="20"/>
                <w:szCs w:val="20"/>
              </w:rPr>
            </w:pPr>
            <w:r w:rsidRPr="002617F5">
              <w:rPr>
                <w:sz w:val="20"/>
                <w:szCs w:val="20"/>
              </w:rPr>
              <w:t>2013</w:t>
            </w:r>
          </w:p>
        </w:tc>
        <w:tc>
          <w:tcPr>
            <w:tcW w:w="1440" w:type="dxa"/>
            <w:tcBorders>
              <w:bottom w:val="single" w:sz="4" w:space="0" w:color="auto"/>
            </w:tcBorders>
            <w:shd w:val="clear" w:color="auto" w:fill="auto"/>
          </w:tcPr>
          <w:p w:rsidR="00A623A1" w:rsidRPr="002617F5" w:rsidRDefault="00A623A1" w:rsidP="006D37D7">
            <w:pPr>
              <w:jc w:val="center"/>
              <w:rPr>
                <w:sz w:val="20"/>
                <w:szCs w:val="20"/>
              </w:rPr>
            </w:pPr>
            <w:r w:rsidRPr="002617F5">
              <w:rPr>
                <w:sz w:val="20"/>
                <w:szCs w:val="20"/>
              </w:rPr>
              <w:t>01</w:t>
            </w:r>
          </w:p>
        </w:tc>
        <w:tc>
          <w:tcPr>
            <w:tcW w:w="1260" w:type="dxa"/>
            <w:tcBorders>
              <w:bottom w:val="single" w:sz="4" w:space="0" w:color="auto"/>
            </w:tcBorders>
            <w:shd w:val="clear" w:color="auto" w:fill="auto"/>
          </w:tcPr>
          <w:p w:rsidR="00A623A1" w:rsidRPr="002617F5" w:rsidRDefault="00A623A1" w:rsidP="006D37D7">
            <w:pPr>
              <w:jc w:val="center"/>
              <w:rPr>
                <w:sz w:val="20"/>
                <w:szCs w:val="20"/>
              </w:rPr>
            </w:pPr>
            <w:r w:rsidRPr="002617F5">
              <w:rPr>
                <w:sz w:val="20"/>
                <w:szCs w:val="20"/>
              </w:rPr>
              <w:t>-</w:t>
            </w:r>
          </w:p>
        </w:tc>
        <w:tc>
          <w:tcPr>
            <w:tcW w:w="1620" w:type="dxa"/>
            <w:tcBorders>
              <w:bottom w:val="single" w:sz="4" w:space="0" w:color="auto"/>
            </w:tcBorders>
            <w:shd w:val="clear" w:color="auto" w:fill="auto"/>
          </w:tcPr>
          <w:p w:rsidR="00A623A1" w:rsidRPr="002617F5" w:rsidRDefault="00A623A1" w:rsidP="006D37D7">
            <w:pPr>
              <w:jc w:val="center"/>
              <w:rPr>
                <w:sz w:val="20"/>
                <w:szCs w:val="20"/>
              </w:rPr>
            </w:pPr>
            <w:r w:rsidRPr="002617F5">
              <w:rPr>
                <w:sz w:val="20"/>
                <w:szCs w:val="20"/>
              </w:rPr>
              <w:t>-</w:t>
            </w:r>
          </w:p>
        </w:tc>
        <w:tc>
          <w:tcPr>
            <w:tcW w:w="1800" w:type="dxa"/>
            <w:tcBorders>
              <w:bottom w:val="single" w:sz="4" w:space="0" w:color="auto"/>
            </w:tcBorders>
            <w:shd w:val="clear" w:color="auto" w:fill="auto"/>
          </w:tcPr>
          <w:p w:rsidR="00A623A1" w:rsidRPr="002617F5" w:rsidRDefault="00A623A1" w:rsidP="006D37D7">
            <w:pPr>
              <w:jc w:val="center"/>
              <w:rPr>
                <w:sz w:val="20"/>
                <w:szCs w:val="20"/>
              </w:rPr>
            </w:pPr>
            <w:r w:rsidRPr="002617F5">
              <w:rPr>
                <w:sz w:val="20"/>
                <w:szCs w:val="20"/>
              </w:rPr>
              <w:t>-</w:t>
            </w:r>
          </w:p>
        </w:tc>
      </w:tr>
    </w:tbl>
    <w:p w:rsidR="00EB2333" w:rsidRPr="002617F5" w:rsidRDefault="00B1544F" w:rsidP="00EA7585">
      <w:pPr>
        <w:ind w:left="720"/>
        <w:jc w:val="center"/>
        <w:rPr>
          <w:i/>
          <w:sz w:val="20"/>
          <w:szCs w:val="20"/>
        </w:rPr>
      </w:pPr>
      <w:r w:rsidRPr="002617F5">
        <w:rPr>
          <w:i/>
          <w:sz w:val="20"/>
          <w:szCs w:val="20"/>
        </w:rPr>
        <w:t>Source: Compiled from HEC website</w:t>
      </w:r>
      <w:r w:rsidR="00E67B85" w:rsidRPr="002617F5">
        <w:rPr>
          <w:i/>
          <w:sz w:val="20"/>
          <w:szCs w:val="20"/>
        </w:rPr>
        <w:t>, 2007</w:t>
      </w:r>
    </w:p>
    <w:p w:rsidR="00EA7585" w:rsidRPr="002617F5" w:rsidRDefault="00EA7585" w:rsidP="00EA7585">
      <w:pPr>
        <w:jc w:val="both"/>
      </w:pPr>
    </w:p>
    <w:p w:rsidR="00FF5368" w:rsidRPr="002617F5" w:rsidRDefault="00EA7585" w:rsidP="00EA7585">
      <w:pPr>
        <w:jc w:val="both"/>
      </w:pPr>
      <w:r w:rsidRPr="002617F5">
        <w:tab/>
      </w:r>
      <w:r w:rsidR="00A272F9" w:rsidRPr="002617F5">
        <w:t>As per current status, there are questions raised about the future of HEC in the wake of 18</w:t>
      </w:r>
      <w:r w:rsidR="00A272F9" w:rsidRPr="002617F5">
        <w:rPr>
          <w:vertAlign w:val="superscript"/>
        </w:rPr>
        <w:t>th</w:t>
      </w:r>
      <w:r w:rsidR="00A272F9" w:rsidRPr="002617F5">
        <w:t xml:space="preserve"> Constitutional Amendment where extended autonomy is granted to provinces. </w:t>
      </w:r>
      <w:r w:rsidR="00E72813" w:rsidRPr="002617F5">
        <w:t>H</w:t>
      </w:r>
      <w:r w:rsidR="00A272F9" w:rsidRPr="002617F5">
        <w:t xml:space="preserve">EC has been troubled by the gradual </w:t>
      </w:r>
      <w:r w:rsidR="007552F3" w:rsidRPr="002617F5">
        <w:t>reduction</w:t>
      </w:r>
      <w:r w:rsidR="00A272F9" w:rsidRPr="002617F5">
        <w:t xml:space="preserve"> in its grant since new regime took over in 2008. </w:t>
      </w:r>
      <w:r w:rsidR="001A14B4" w:rsidRPr="002617F5">
        <w:t>Many observers believe that perhaps due to the role of HEC and Universities in the controversial episode of degree verification exercise of law makers, the entire sector of higher education has been made to suffer. Pressure is mounting on university managements to raise the fee structure to balance the accounts!</w:t>
      </w:r>
      <w:r w:rsidR="002617F5">
        <w:t xml:space="preserve"> </w:t>
      </w:r>
      <w:r w:rsidR="00FF5368" w:rsidRPr="002617F5">
        <w:t xml:space="preserve">It is feared that many bright but financially disadvantaged youth shall not be able to acquire admission in universities </w:t>
      </w:r>
      <w:r w:rsidR="00E57F27" w:rsidRPr="002617F5">
        <w:t>under</w:t>
      </w:r>
      <w:r w:rsidR="002617F5">
        <w:t xml:space="preserve"> </w:t>
      </w:r>
      <w:r w:rsidR="00E57F27" w:rsidRPr="002617F5">
        <w:t>price</w:t>
      </w:r>
      <w:r w:rsidR="002617F5">
        <w:t>-</w:t>
      </w:r>
      <w:r w:rsidR="00E57F27" w:rsidRPr="002617F5">
        <w:t>hike</w:t>
      </w:r>
      <w:r w:rsidR="00FF5368" w:rsidRPr="002617F5">
        <w:t xml:space="preserve"> situations.</w:t>
      </w:r>
    </w:p>
    <w:p w:rsidR="00EA7585" w:rsidRPr="002617F5" w:rsidRDefault="00EA7585" w:rsidP="00EA7585">
      <w:pPr>
        <w:jc w:val="both"/>
      </w:pPr>
    </w:p>
    <w:p w:rsidR="003D201F" w:rsidRPr="002617F5" w:rsidRDefault="00EA7585" w:rsidP="00EA7585">
      <w:pPr>
        <w:jc w:val="both"/>
      </w:pPr>
      <w:r w:rsidRPr="002617F5">
        <w:tab/>
      </w:r>
      <w:r w:rsidR="00B63BA5" w:rsidRPr="002617F5">
        <w:t>That said</w:t>
      </w:r>
      <w:r w:rsidR="00D56ACB" w:rsidRPr="002617F5">
        <w:t>,</w:t>
      </w:r>
      <w:r w:rsidR="003D201F" w:rsidRPr="002617F5">
        <w:t xml:space="preserve"> the gradual rise in the number of universities – both public and private – as well as the involvement is a positive trend. A recent scenario is presented in Table </w:t>
      </w:r>
      <w:r w:rsidR="00AC1ABC" w:rsidRPr="002617F5">
        <w:t>04</w:t>
      </w:r>
      <w:r w:rsidR="003D201F" w:rsidRPr="002617F5">
        <w:t>.</w:t>
      </w:r>
    </w:p>
    <w:p w:rsidR="003D201F" w:rsidRPr="002617F5" w:rsidRDefault="003D201F" w:rsidP="001C5C20">
      <w:pPr>
        <w:ind w:left="720"/>
        <w:jc w:val="both"/>
      </w:pPr>
    </w:p>
    <w:p w:rsidR="00AC1ABC" w:rsidRPr="002617F5" w:rsidRDefault="00AC1ABC" w:rsidP="00EA7585">
      <w:pPr>
        <w:rPr>
          <w:b/>
          <w:sz w:val="20"/>
          <w:szCs w:val="20"/>
        </w:rPr>
      </w:pPr>
      <w:r w:rsidRPr="002617F5">
        <w:rPr>
          <w:b/>
          <w:sz w:val="20"/>
          <w:szCs w:val="20"/>
        </w:rPr>
        <w:t>TABLE4</w:t>
      </w:r>
      <w:r w:rsidR="00EA7585" w:rsidRPr="002617F5">
        <w:rPr>
          <w:b/>
          <w:sz w:val="20"/>
          <w:szCs w:val="20"/>
        </w:rPr>
        <w:t xml:space="preserve">: </w:t>
      </w:r>
      <w:r w:rsidRPr="002617F5">
        <w:rPr>
          <w:b/>
          <w:sz w:val="20"/>
          <w:szCs w:val="20"/>
        </w:rPr>
        <w:t>CATEGORIES AND DISTRIBUTION OF UNIVERSITIESAND OTHER DEGREE AWARDING INSTITUTIONS (2010-2012)</w:t>
      </w:r>
    </w:p>
    <w:p w:rsidR="00EA7585" w:rsidRPr="002617F5" w:rsidRDefault="00EA7585" w:rsidP="00EA7585">
      <w:pPr>
        <w:rPr>
          <w:b/>
          <w:sz w:val="20"/>
          <w:szCs w:val="20"/>
        </w:rPr>
      </w:pPr>
    </w:p>
    <w:tbl>
      <w:tblPr>
        <w:tblW w:w="9122" w:type="dxa"/>
        <w:jc w:val="center"/>
        <w:tblInd w:w="58" w:type="dxa"/>
        <w:tblCellMar>
          <w:left w:w="58" w:type="dxa"/>
          <w:right w:w="58" w:type="dxa"/>
        </w:tblCellMar>
        <w:tblLook w:val="01E0"/>
      </w:tblPr>
      <w:tblGrid>
        <w:gridCol w:w="1701"/>
        <w:gridCol w:w="972"/>
        <w:gridCol w:w="1231"/>
        <w:gridCol w:w="1437"/>
        <w:gridCol w:w="1495"/>
        <w:gridCol w:w="1237"/>
        <w:gridCol w:w="1049"/>
      </w:tblGrid>
      <w:tr w:rsidR="00AC1ABC" w:rsidRPr="002617F5" w:rsidTr="00EA7585">
        <w:trPr>
          <w:trHeight w:val="379"/>
          <w:jc w:val="center"/>
        </w:trPr>
        <w:tc>
          <w:tcPr>
            <w:tcW w:w="1701" w:type="dxa"/>
            <w:tcBorders>
              <w:top w:val="single" w:sz="4" w:space="0" w:color="auto"/>
              <w:bottom w:val="single" w:sz="4" w:space="0" w:color="auto"/>
            </w:tcBorders>
            <w:shd w:val="clear" w:color="auto" w:fill="auto"/>
            <w:vAlign w:val="center"/>
          </w:tcPr>
          <w:p w:rsidR="00AC1ABC" w:rsidRPr="002617F5" w:rsidRDefault="00AC1ABC" w:rsidP="00EA7585">
            <w:pPr>
              <w:jc w:val="center"/>
              <w:rPr>
                <w:b/>
                <w:sz w:val="20"/>
                <w:szCs w:val="20"/>
              </w:rPr>
            </w:pPr>
            <w:r w:rsidRPr="002617F5">
              <w:rPr>
                <w:b/>
                <w:sz w:val="20"/>
                <w:szCs w:val="20"/>
              </w:rPr>
              <w:t>Area</w:t>
            </w:r>
          </w:p>
        </w:tc>
        <w:tc>
          <w:tcPr>
            <w:tcW w:w="972" w:type="dxa"/>
            <w:tcBorders>
              <w:top w:val="single" w:sz="4" w:space="0" w:color="auto"/>
              <w:bottom w:val="single" w:sz="4" w:space="0" w:color="auto"/>
            </w:tcBorders>
            <w:shd w:val="clear" w:color="auto" w:fill="auto"/>
            <w:vAlign w:val="center"/>
          </w:tcPr>
          <w:p w:rsidR="00AC1ABC" w:rsidRPr="002617F5" w:rsidRDefault="00AC1ABC" w:rsidP="00EA7585">
            <w:pPr>
              <w:jc w:val="center"/>
              <w:rPr>
                <w:b/>
                <w:sz w:val="20"/>
                <w:szCs w:val="20"/>
              </w:rPr>
            </w:pPr>
            <w:r w:rsidRPr="002617F5">
              <w:rPr>
                <w:b/>
                <w:sz w:val="20"/>
                <w:szCs w:val="20"/>
              </w:rPr>
              <w:t>Sector</w:t>
            </w:r>
          </w:p>
        </w:tc>
        <w:tc>
          <w:tcPr>
            <w:tcW w:w="1231" w:type="dxa"/>
            <w:tcBorders>
              <w:top w:val="single" w:sz="4" w:space="0" w:color="auto"/>
              <w:bottom w:val="single" w:sz="4" w:space="0" w:color="auto"/>
            </w:tcBorders>
            <w:shd w:val="clear" w:color="auto" w:fill="auto"/>
            <w:vAlign w:val="center"/>
          </w:tcPr>
          <w:p w:rsidR="00AC1ABC" w:rsidRPr="002617F5" w:rsidRDefault="00AC1ABC" w:rsidP="00EA7585">
            <w:pPr>
              <w:jc w:val="center"/>
              <w:rPr>
                <w:b/>
                <w:sz w:val="20"/>
                <w:szCs w:val="20"/>
              </w:rPr>
            </w:pPr>
            <w:r w:rsidRPr="002617F5">
              <w:rPr>
                <w:b/>
                <w:sz w:val="20"/>
                <w:szCs w:val="20"/>
              </w:rPr>
              <w:t>General*</w:t>
            </w:r>
          </w:p>
        </w:tc>
        <w:tc>
          <w:tcPr>
            <w:tcW w:w="1437" w:type="dxa"/>
            <w:tcBorders>
              <w:top w:val="single" w:sz="4" w:space="0" w:color="auto"/>
              <w:bottom w:val="single" w:sz="4" w:space="0" w:color="auto"/>
            </w:tcBorders>
            <w:shd w:val="clear" w:color="auto" w:fill="auto"/>
            <w:vAlign w:val="center"/>
          </w:tcPr>
          <w:p w:rsidR="00AC1ABC" w:rsidRPr="002617F5" w:rsidRDefault="00AC1ABC" w:rsidP="00EA7585">
            <w:pPr>
              <w:jc w:val="center"/>
              <w:rPr>
                <w:b/>
                <w:sz w:val="20"/>
                <w:szCs w:val="20"/>
              </w:rPr>
            </w:pPr>
            <w:r w:rsidRPr="002617F5">
              <w:rPr>
                <w:b/>
                <w:sz w:val="20"/>
                <w:szCs w:val="20"/>
              </w:rPr>
              <w:t>Agriculture</w:t>
            </w:r>
          </w:p>
        </w:tc>
        <w:tc>
          <w:tcPr>
            <w:tcW w:w="1495" w:type="dxa"/>
            <w:tcBorders>
              <w:top w:val="single" w:sz="4" w:space="0" w:color="auto"/>
              <w:bottom w:val="single" w:sz="4" w:space="0" w:color="auto"/>
            </w:tcBorders>
            <w:shd w:val="clear" w:color="auto" w:fill="auto"/>
            <w:vAlign w:val="center"/>
          </w:tcPr>
          <w:p w:rsidR="00AC1ABC" w:rsidRPr="002617F5" w:rsidRDefault="00AC1ABC" w:rsidP="00EA7585">
            <w:pPr>
              <w:jc w:val="center"/>
              <w:rPr>
                <w:b/>
                <w:sz w:val="20"/>
                <w:szCs w:val="20"/>
              </w:rPr>
            </w:pPr>
            <w:r w:rsidRPr="002617F5">
              <w:rPr>
                <w:b/>
                <w:sz w:val="20"/>
                <w:szCs w:val="20"/>
              </w:rPr>
              <w:t>Engineering</w:t>
            </w:r>
          </w:p>
        </w:tc>
        <w:tc>
          <w:tcPr>
            <w:tcW w:w="1237" w:type="dxa"/>
            <w:tcBorders>
              <w:top w:val="single" w:sz="4" w:space="0" w:color="auto"/>
              <w:bottom w:val="single" w:sz="4" w:space="0" w:color="auto"/>
            </w:tcBorders>
            <w:shd w:val="clear" w:color="auto" w:fill="auto"/>
            <w:vAlign w:val="center"/>
          </w:tcPr>
          <w:p w:rsidR="00AC1ABC" w:rsidRPr="002617F5" w:rsidRDefault="00AC1ABC" w:rsidP="00EA7585">
            <w:pPr>
              <w:jc w:val="center"/>
              <w:rPr>
                <w:b/>
                <w:sz w:val="20"/>
                <w:szCs w:val="20"/>
              </w:rPr>
            </w:pPr>
            <w:r w:rsidRPr="002617F5">
              <w:rPr>
                <w:b/>
                <w:sz w:val="20"/>
                <w:szCs w:val="20"/>
              </w:rPr>
              <w:t>Medicine</w:t>
            </w:r>
          </w:p>
        </w:tc>
        <w:tc>
          <w:tcPr>
            <w:tcW w:w="1049" w:type="dxa"/>
            <w:tcBorders>
              <w:top w:val="single" w:sz="4" w:space="0" w:color="auto"/>
              <w:bottom w:val="single" w:sz="4" w:space="0" w:color="auto"/>
            </w:tcBorders>
            <w:shd w:val="clear" w:color="auto" w:fill="auto"/>
            <w:vAlign w:val="center"/>
          </w:tcPr>
          <w:p w:rsidR="00AC1ABC" w:rsidRPr="002617F5" w:rsidRDefault="00AC1ABC" w:rsidP="00EA7585">
            <w:pPr>
              <w:jc w:val="center"/>
              <w:rPr>
                <w:b/>
                <w:sz w:val="20"/>
                <w:szCs w:val="20"/>
              </w:rPr>
            </w:pPr>
            <w:r w:rsidRPr="002617F5">
              <w:rPr>
                <w:b/>
                <w:sz w:val="20"/>
                <w:szCs w:val="20"/>
              </w:rPr>
              <w:t>Total</w:t>
            </w:r>
          </w:p>
        </w:tc>
      </w:tr>
      <w:tr w:rsidR="00AC1ABC" w:rsidRPr="002617F5" w:rsidTr="00EA7585">
        <w:trPr>
          <w:trHeight w:val="519"/>
          <w:jc w:val="center"/>
        </w:trPr>
        <w:tc>
          <w:tcPr>
            <w:tcW w:w="1701" w:type="dxa"/>
            <w:tcBorders>
              <w:top w:val="single" w:sz="4" w:space="0" w:color="auto"/>
              <w:bottom w:val="single" w:sz="4" w:space="0" w:color="auto"/>
            </w:tcBorders>
            <w:shd w:val="clear" w:color="auto" w:fill="auto"/>
            <w:vAlign w:val="center"/>
          </w:tcPr>
          <w:p w:rsidR="00AC1ABC" w:rsidRPr="002617F5" w:rsidRDefault="00AC1ABC" w:rsidP="00EA7585">
            <w:pPr>
              <w:rPr>
                <w:sz w:val="20"/>
                <w:szCs w:val="20"/>
              </w:rPr>
            </w:pPr>
            <w:r w:rsidRPr="002617F5">
              <w:rPr>
                <w:sz w:val="20"/>
                <w:szCs w:val="20"/>
              </w:rPr>
              <w:t xml:space="preserve">Azad Jamu and </w:t>
            </w:r>
            <w:r w:rsidR="007552F3" w:rsidRPr="002617F5">
              <w:rPr>
                <w:sz w:val="20"/>
                <w:szCs w:val="20"/>
              </w:rPr>
              <w:t>Kashmir</w:t>
            </w:r>
          </w:p>
        </w:tc>
        <w:tc>
          <w:tcPr>
            <w:tcW w:w="972" w:type="dxa"/>
            <w:tcBorders>
              <w:top w:val="single" w:sz="4" w:space="0" w:color="auto"/>
              <w:bottom w:val="single" w:sz="4" w:space="0" w:color="auto"/>
            </w:tcBorders>
            <w:shd w:val="clear" w:color="auto" w:fill="auto"/>
          </w:tcPr>
          <w:p w:rsidR="00AC1ABC" w:rsidRPr="002617F5" w:rsidRDefault="00AC1ABC" w:rsidP="003201D7">
            <w:pPr>
              <w:jc w:val="both"/>
              <w:rPr>
                <w:sz w:val="20"/>
                <w:szCs w:val="20"/>
              </w:rPr>
            </w:pPr>
            <w:r w:rsidRPr="002617F5">
              <w:rPr>
                <w:sz w:val="20"/>
                <w:szCs w:val="20"/>
              </w:rPr>
              <w:t>Public Private</w:t>
            </w:r>
          </w:p>
        </w:tc>
        <w:tc>
          <w:tcPr>
            <w:tcW w:w="1231" w:type="dxa"/>
            <w:tcBorders>
              <w:top w:val="single" w:sz="4" w:space="0" w:color="auto"/>
              <w:bottom w:val="single" w:sz="4" w:space="0" w:color="auto"/>
            </w:tcBorders>
            <w:shd w:val="clear" w:color="auto" w:fill="auto"/>
          </w:tcPr>
          <w:p w:rsidR="00AC1ABC" w:rsidRPr="002617F5" w:rsidRDefault="00AC1ABC" w:rsidP="003201D7">
            <w:pPr>
              <w:jc w:val="center"/>
              <w:rPr>
                <w:sz w:val="20"/>
                <w:szCs w:val="20"/>
              </w:rPr>
            </w:pPr>
            <w:r w:rsidRPr="002617F5">
              <w:rPr>
                <w:sz w:val="20"/>
                <w:szCs w:val="20"/>
              </w:rPr>
              <w:t>2</w:t>
            </w:r>
          </w:p>
          <w:p w:rsidR="00AC1ABC" w:rsidRPr="002617F5" w:rsidRDefault="00AC1ABC" w:rsidP="003201D7">
            <w:pPr>
              <w:jc w:val="center"/>
              <w:rPr>
                <w:sz w:val="20"/>
                <w:szCs w:val="20"/>
              </w:rPr>
            </w:pPr>
            <w:r w:rsidRPr="002617F5">
              <w:rPr>
                <w:sz w:val="20"/>
                <w:szCs w:val="20"/>
              </w:rPr>
              <w:t>1</w:t>
            </w:r>
          </w:p>
        </w:tc>
        <w:tc>
          <w:tcPr>
            <w:tcW w:w="1437" w:type="dxa"/>
            <w:tcBorders>
              <w:top w:val="single" w:sz="4" w:space="0" w:color="auto"/>
              <w:bottom w:val="single" w:sz="4" w:space="0" w:color="auto"/>
            </w:tcBorders>
            <w:shd w:val="clear" w:color="auto" w:fill="auto"/>
          </w:tcPr>
          <w:p w:rsidR="00AC1ABC" w:rsidRPr="002617F5" w:rsidRDefault="00AC1ABC" w:rsidP="003201D7">
            <w:pPr>
              <w:jc w:val="center"/>
              <w:rPr>
                <w:sz w:val="20"/>
                <w:szCs w:val="20"/>
              </w:rPr>
            </w:pPr>
            <w:r w:rsidRPr="002617F5">
              <w:rPr>
                <w:sz w:val="20"/>
                <w:szCs w:val="20"/>
              </w:rPr>
              <w:t>-</w:t>
            </w:r>
          </w:p>
          <w:p w:rsidR="00AC1ABC" w:rsidRPr="002617F5" w:rsidRDefault="00AC1ABC" w:rsidP="003201D7">
            <w:pPr>
              <w:jc w:val="center"/>
              <w:rPr>
                <w:sz w:val="20"/>
                <w:szCs w:val="20"/>
              </w:rPr>
            </w:pPr>
            <w:r w:rsidRPr="002617F5">
              <w:rPr>
                <w:sz w:val="20"/>
                <w:szCs w:val="20"/>
              </w:rPr>
              <w:t>-</w:t>
            </w:r>
          </w:p>
        </w:tc>
        <w:tc>
          <w:tcPr>
            <w:tcW w:w="1495" w:type="dxa"/>
            <w:tcBorders>
              <w:top w:val="single" w:sz="4" w:space="0" w:color="auto"/>
              <w:bottom w:val="single" w:sz="4" w:space="0" w:color="auto"/>
            </w:tcBorders>
            <w:shd w:val="clear" w:color="auto" w:fill="auto"/>
          </w:tcPr>
          <w:p w:rsidR="00AC1ABC" w:rsidRPr="002617F5" w:rsidRDefault="00AC1ABC" w:rsidP="003201D7">
            <w:pPr>
              <w:jc w:val="center"/>
              <w:rPr>
                <w:sz w:val="20"/>
                <w:szCs w:val="20"/>
              </w:rPr>
            </w:pPr>
            <w:r w:rsidRPr="002617F5">
              <w:rPr>
                <w:sz w:val="20"/>
                <w:szCs w:val="20"/>
              </w:rPr>
              <w:t>1</w:t>
            </w:r>
          </w:p>
          <w:p w:rsidR="00AC1ABC" w:rsidRPr="002617F5" w:rsidRDefault="00AC1ABC" w:rsidP="003201D7">
            <w:pPr>
              <w:jc w:val="center"/>
              <w:rPr>
                <w:sz w:val="20"/>
                <w:szCs w:val="20"/>
              </w:rPr>
            </w:pPr>
            <w:r w:rsidRPr="002617F5">
              <w:rPr>
                <w:sz w:val="20"/>
                <w:szCs w:val="20"/>
              </w:rPr>
              <w:t>-</w:t>
            </w:r>
          </w:p>
        </w:tc>
        <w:tc>
          <w:tcPr>
            <w:tcW w:w="1237" w:type="dxa"/>
            <w:tcBorders>
              <w:top w:val="single" w:sz="4" w:space="0" w:color="auto"/>
              <w:bottom w:val="single" w:sz="4" w:space="0" w:color="auto"/>
            </w:tcBorders>
            <w:shd w:val="clear" w:color="auto" w:fill="auto"/>
          </w:tcPr>
          <w:p w:rsidR="00AC1ABC" w:rsidRPr="002617F5" w:rsidRDefault="00AC1ABC" w:rsidP="003201D7">
            <w:pPr>
              <w:jc w:val="center"/>
              <w:rPr>
                <w:sz w:val="20"/>
                <w:szCs w:val="20"/>
              </w:rPr>
            </w:pPr>
            <w:r w:rsidRPr="002617F5">
              <w:rPr>
                <w:sz w:val="20"/>
                <w:szCs w:val="20"/>
              </w:rPr>
              <w:t>-</w:t>
            </w:r>
          </w:p>
          <w:p w:rsidR="00AC1ABC" w:rsidRPr="002617F5" w:rsidRDefault="00AC1ABC" w:rsidP="003201D7">
            <w:pPr>
              <w:jc w:val="center"/>
              <w:rPr>
                <w:sz w:val="20"/>
                <w:szCs w:val="20"/>
              </w:rPr>
            </w:pPr>
            <w:r w:rsidRPr="002617F5">
              <w:rPr>
                <w:sz w:val="20"/>
                <w:szCs w:val="20"/>
              </w:rPr>
              <w:t>-</w:t>
            </w:r>
          </w:p>
        </w:tc>
        <w:tc>
          <w:tcPr>
            <w:tcW w:w="1049" w:type="dxa"/>
            <w:tcBorders>
              <w:top w:val="single" w:sz="4" w:space="0" w:color="auto"/>
              <w:bottom w:val="single" w:sz="4" w:space="0" w:color="auto"/>
            </w:tcBorders>
            <w:shd w:val="clear" w:color="auto" w:fill="auto"/>
          </w:tcPr>
          <w:p w:rsidR="00AC1ABC" w:rsidRPr="002617F5" w:rsidRDefault="00AC1ABC" w:rsidP="003201D7">
            <w:pPr>
              <w:jc w:val="center"/>
              <w:rPr>
                <w:sz w:val="20"/>
                <w:szCs w:val="20"/>
              </w:rPr>
            </w:pPr>
            <w:r w:rsidRPr="002617F5">
              <w:rPr>
                <w:sz w:val="20"/>
                <w:szCs w:val="20"/>
              </w:rPr>
              <w:t>3</w:t>
            </w:r>
          </w:p>
          <w:p w:rsidR="00AC1ABC" w:rsidRPr="002617F5" w:rsidRDefault="00AC1ABC" w:rsidP="003201D7">
            <w:pPr>
              <w:jc w:val="center"/>
              <w:rPr>
                <w:sz w:val="20"/>
                <w:szCs w:val="20"/>
              </w:rPr>
            </w:pPr>
            <w:r w:rsidRPr="002617F5">
              <w:rPr>
                <w:sz w:val="20"/>
                <w:szCs w:val="20"/>
              </w:rPr>
              <w:t>1</w:t>
            </w:r>
          </w:p>
        </w:tc>
      </w:tr>
      <w:tr w:rsidR="00AC1ABC" w:rsidRPr="002617F5" w:rsidTr="00EA7585">
        <w:trPr>
          <w:trHeight w:val="504"/>
          <w:jc w:val="center"/>
        </w:trPr>
        <w:tc>
          <w:tcPr>
            <w:tcW w:w="1701" w:type="dxa"/>
            <w:tcBorders>
              <w:top w:val="single" w:sz="4" w:space="0" w:color="auto"/>
              <w:bottom w:val="single" w:sz="4" w:space="0" w:color="auto"/>
            </w:tcBorders>
            <w:shd w:val="clear" w:color="auto" w:fill="auto"/>
            <w:vAlign w:val="center"/>
          </w:tcPr>
          <w:p w:rsidR="00AC1ABC" w:rsidRPr="002617F5" w:rsidRDefault="007552F3" w:rsidP="00EA7585">
            <w:pPr>
              <w:rPr>
                <w:sz w:val="20"/>
                <w:szCs w:val="20"/>
              </w:rPr>
            </w:pPr>
            <w:r w:rsidRPr="002617F5">
              <w:rPr>
                <w:sz w:val="20"/>
                <w:szCs w:val="20"/>
              </w:rPr>
              <w:t>Baluchistan</w:t>
            </w:r>
          </w:p>
        </w:tc>
        <w:tc>
          <w:tcPr>
            <w:tcW w:w="972" w:type="dxa"/>
            <w:tcBorders>
              <w:top w:val="single" w:sz="4" w:space="0" w:color="auto"/>
              <w:bottom w:val="single" w:sz="4" w:space="0" w:color="auto"/>
            </w:tcBorders>
            <w:shd w:val="clear" w:color="auto" w:fill="auto"/>
          </w:tcPr>
          <w:p w:rsidR="00AC1ABC" w:rsidRPr="002617F5" w:rsidRDefault="00AC1ABC" w:rsidP="003201D7">
            <w:pPr>
              <w:jc w:val="both"/>
              <w:rPr>
                <w:sz w:val="20"/>
                <w:szCs w:val="20"/>
              </w:rPr>
            </w:pPr>
            <w:r w:rsidRPr="002617F5">
              <w:rPr>
                <w:sz w:val="20"/>
                <w:szCs w:val="20"/>
              </w:rPr>
              <w:t>Public Private</w:t>
            </w:r>
          </w:p>
        </w:tc>
        <w:tc>
          <w:tcPr>
            <w:tcW w:w="1231" w:type="dxa"/>
            <w:tcBorders>
              <w:top w:val="single" w:sz="4" w:space="0" w:color="auto"/>
              <w:bottom w:val="single" w:sz="4" w:space="0" w:color="auto"/>
            </w:tcBorders>
            <w:shd w:val="clear" w:color="auto" w:fill="auto"/>
          </w:tcPr>
          <w:p w:rsidR="00AC1ABC" w:rsidRPr="002617F5" w:rsidRDefault="00AC1ABC" w:rsidP="003201D7">
            <w:pPr>
              <w:jc w:val="center"/>
              <w:rPr>
                <w:sz w:val="20"/>
                <w:szCs w:val="20"/>
              </w:rPr>
            </w:pPr>
            <w:r w:rsidRPr="002617F5">
              <w:rPr>
                <w:sz w:val="20"/>
                <w:szCs w:val="20"/>
              </w:rPr>
              <w:t>2</w:t>
            </w:r>
          </w:p>
          <w:p w:rsidR="00AC1ABC" w:rsidRPr="002617F5" w:rsidRDefault="00AC1ABC" w:rsidP="003201D7">
            <w:pPr>
              <w:jc w:val="center"/>
              <w:rPr>
                <w:sz w:val="20"/>
                <w:szCs w:val="20"/>
              </w:rPr>
            </w:pPr>
            <w:r w:rsidRPr="002617F5">
              <w:rPr>
                <w:sz w:val="20"/>
                <w:szCs w:val="20"/>
              </w:rPr>
              <w:t>2</w:t>
            </w:r>
          </w:p>
        </w:tc>
        <w:tc>
          <w:tcPr>
            <w:tcW w:w="1437" w:type="dxa"/>
            <w:tcBorders>
              <w:top w:val="single" w:sz="4" w:space="0" w:color="auto"/>
              <w:bottom w:val="single" w:sz="4" w:space="0" w:color="auto"/>
            </w:tcBorders>
            <w:shd w:val="clear" w:color="auto" w:fill="auto"/>
          </w:tcPr>
          <w:p w:rsidR="00AC1ABC" w:rsidRPr="002617F5" w:rsidRDefault="00AC1ABC" w:rsidP="003201D7">
            <w:pPr>
              <w:jc w:val="center"/>
              <w:rPr>
                <w:sz w:val="20"/>
                <w:szCs w:val="20"/>
              </w:rPr>
            </w:pPr>
            <w:r w:rsidRPr="002617F5">
              <w:rPr>
                <w:sz w:val="20"/>
                <w:szCs w:val="20"/>
              </w:rPr>
              <w:t>-</w:t>
            </w:r>
          </w:p>
          <w:p w:rsidR="00AC1ABC" w:rsidRPr="002617F5" w:rsidRDefault="00AC1ABC" w:rsidP="003201D7">
            <w:pPr>
              <w:jc w:val="center"/>
              <w:rPr>
                <w:sz w:val="20"/>
                <w:szCs w:val="20"/>
              </w:rPr>
            </w:pPr>
            <w:r w:rsidRPr="002617F5">
              <w:rPr>
                <w:sz w:val="20"/>
                <w:szCs w:val="20"/>
              </w:rPr>
              <w:t>-</w:t>
            </w:r>
          </w:p>
        </w:tc>
        <w:tc>
          <w:tcPr>
            <w:tcW w:w="1495" w:type="dxa"/>
            <w:tcBorders>
              <w:top w:val="single" w:sz="4" w:space="0" w:color="auto"/>
              <w:bottom w:val="single" w:sz="4" w:space="0" w:color="auto"/>
            </w:tcBorders>
            <w:shd w:val="clear" w:color="auto" w:fill="auto"/>
          </w:tcPr>
          <w:p w:rsidR="00AC1ABC" w:rsidRPr="002617F5" w:rsidRDefault="00AC1ABC" w:rsidP="003201D7">
            <w:pPr>
              <w:jc w:val="center"/>
              <w:rPr>
                <w:sz w:val="20"/>
                <w:szCs w:val="20"/>
              </w:rPr>
            </w:pPr>
            <w:r w:rsidRPr="002617F5">
              <w:rPr>
                <w:sz w:val="20"/>
                <w:szCs w:val="20"/>
              </w:rPr>
              <w:t>2</w:t>
            </w:r>
          </w:p>
          <w:p w:rsidR="00AC1ABC" w:rsidRPr="002617F5" w:rsidRDefault="00AC1ABC" w:rsidP="003201D7">
            <w:pPr>
              <w:jc w:val="center"/>
              <w:rPr>
                <w:sz w:val="20"/>
                <w:szCs w:val="20"/>
              </w:rPr>
            </w:pPr>
            <w:r w:rsidRPr="002617F5">
              <w:rPr>
                <w:sz w:val="20"/>
                <w:szCs w:val="20"/>
              </w:rPr>
              <w:t>-</w:t>
            </w:r>
          </w:p>
        </w:tc>
        <w:tc>
          <w:tcPr>
            <w:tcW w:w="1237" w:type="dxa"/>
            <w:tcBorders>
              <w:top w:val="single" w:sz="4" w:space="0" w:color="auto"/>
              <w:bottom w:val="single" w:sz="4" w:space="0" w:color="auto"/>
            </w:tcBorders>
            <w:shd w:val="clear" w:color="auto" w:fill="auto"/>
          </w:tcPr>
          <w:p w:rsidR="00AC1ABC" w:rsidRPr="002617F5" w:rsidRDefault="00AC1ABC" w:rsidP="003201D7">
            <w:pPr>
              <w:jc w:val="center"/>
              <w:rPr>
                <w:sz w:val="20"/>
                <w:szCs w:val="20"/>
              </w:rPr>
            </w:pPr>
            <w:r w:rsidRPr="002617F5">
              <w:rPr>
                <w:sz w:val="20"/>
                <w:szCs w:val="20"/>
              </w:rPr>
              <w:t>1</w:t>
            </w:r>
          </w:p>
          <w:p w:rsidR="00AC1ABC" w:rsidRPr="002617F5" w:rsidRDefault="00AC1ABC" w:rsidP="003201D7">
            <w:pPr>
              <w:jc w:val="center"/>
              <w:rPr>
                <w:sz w:val="20"/>
                <w:szCs w:val="20"/>
              </w:rPr>
            </w:pPr>
            <w:r w:rsidRPr="002617F5">
              <w:rPr>
                <w:sz w:val="20"/>
                <w:szCs w:val="20"/>
              </w:rPr>
              <w:t>-</w:t>
            </w:r>
          </w:p>
        </w:tc>
        <w:tc>
          <w:tcPr>
            <w:tcW w:w="1049" w:type="dxa"/>
            <w:tcBorders>
              <w:top w:val="single" w:sz="4" w:space="0" w:color="auto"/>
              <w:bottom w:val="single" w:sz="4" w:space="0" w:color="auto"/>
            </w:tcBorders>
            <w:shd w:val="clear" w:color="auto" w:fill="auto"/>
          </w:tcPr>
          <w:p w:rsidR="00AC1ABC" w:rsidRPr="002617F5" w:rsidRDefault="00AC1ABC" w:rsidP="003201D7">
            <w:pPr>
              <w:jc w:val="center"/>
              <w:rPr>
                <w:sz w:val="20"/>
                <w:szCs w:val="20"/>
              </w:rPr>
            </w:pPr>
            <w:r w:rsidRPr="002617F5">
              <w:rPr>
                <w:sz w:val="20"/>
                <w:szCs w:val="20"/>
              </w:rPr>
              <w:t>5</w:t>
            </w:r>
          </w:p>
          <w:p w:rsidR="00AC1ABC" w:rsidRPr="002617F5" w:rsidRDefault="00AC1ABC" w:rsidP="003201D7">
            <w:pPr>
              <w:jc w:val="center"/>
              <w:rPr>
                <w:sz w:val="20"/>
                <w:szCs w:val="20"/>
              </w:rPr>
            </w:pPr>
            <w:r w:rsidRPr="002617F5">
              <w:rPr>
                <w:sz w:val="20"/>
                <w:szCs w:val="20"/>
              </w:rPr>
              <w:t>2</w:t>
            </w:r>
          </w:p>
        </w:tc>
      </w:tr>
      <w:tr w:rsidR="00AC1ABC" w:rsidRPr="002617F5" w:rsidTr="00EA7585">
        <w:trPr>
          <w:trHeight w:val="504"/>
          <w:jc w:val="center"/>
        </w:trPr>
        <w:tc>
          <w:tcPr>
            <w:tcW w:w="1701" w:type="dxa"/>
            <w:tcBorders>
              <w:top w:val="single" w:sz="4" w:space="0" w:color="auto"/>
              <w:bottom w:val="single" w:sz="4" w:space="0" w:color="auto"/>
            </w:tcBorders>
            <w:shd w:val="clear" w:color="auto" w:fill="auto"/>
            <w:vAlign w:val="center"/>
          </w:tcPr>
          <w:p w:rsidR="00AC1ABC" w:rsidRPr="002617F5" w:rsidRDefault="00AC1ABC" w:rsidP="00EA7585">
            <w:pPr>
              <w:rPr>
                <w:sz w:val="20"/>
                <w:szCs w:val="20"/>
              </w:rPr>
            </w:pPr>
            <w:r w:rsidRPr="002617F5">
              <w:rPr>
                <w:sz w:val="20"/>
                <w:szCs w:val="20"/>
              </w:rPr>
              <w:t>Federal</w:t>
            </w:r>
          </w:p>
          <w:p w:rsidR="00AC1ABC" w:rsidRPr="002617F5" w:rsidRDefault="00AC1ABC" w:rsidP="00EA7585">
            <w:pPr>
              <w:rPr>
                <w:sz w:val="20"/>
                <w:szCs w:val="20"/>
              </w:rPr>
            </w:pPr>
            <w:r w:rsidRPr="002617F5">
              <w:rPr>
                <w:sz w:val="20"/>
                <w:szCs w:val="20"/>
              </w:rPr>
              <w:t>Territory</w:t>
            </w:r>
          </w:p>
        </w:tc>
        <w:tc>
          <w:tcPr>
            <w:tcW w:w="972" w:type="dxa"/>
            <w:tcBorders>
              <w:top w:val="single" w:sz="4" w:space="0" w:color="auto"/>
              <w:bottom w:val="single" w:sz="4" w:space="0" w:color="auto"/>
            </w:tcBorders>
            <w:shd w:val="clear" w:color="auto" w:fill="auto"/>
          </w:tcPr>
          <w:p w:rsidR="00AC1ABC" w:rsidRPr="002617F5" w:rsidRDefault="00AC1ABC" w:rsidP="003201D7">
            <w:pPr>
              <w:jc w:val="both"/>
              <w:rPr>
                <w:sz w:val="20"/>
                <w:szCs w:val="20"/>
              </w:rPr>
            </w:pPr>
            <w:r w:rsidRPr="002617F5">
              <w:rPr>
                <w:sz w:val="20"/>
                <w:szCs w:val="20"/>
              </w:rPr>
              <w:t>Public Private</w:t>
            </w:r>
          </w:p>
        </w:tc>
        <w:tc>
          <w:tcPr>
            <w:tcW w:w="1231" w:type="dxa"/>
            <w:tcBorders>
              <w:top w:val="single" w:sz="4" w:space="0" w:color="auto"/>
              <w:bottom w:val="single" w:sz="4" w:space="0" w:color="auto"/>
            </w:tcBorders>
            <w:shd w:val="clear" w:color="auto" w:fill="auto"/>
          </w:tcPr>
          <w:p w:rsidR="00AC1ABC" w:rsidRPr="002617F5" w:rsidRDefault="00AC1ABC" w:rsidP="003201D7">
            <w:pPr>
              <w:jc w:val="center"/>
              <w:rPr>
                <w:sz w:val="20"/>
                <w:szCs w:val="20"/>
              </w:rPr>
            </w:pPr>
            <w:r w:rsidRPr="002617F5">
              <w:rPr>
                <w:sz w:val="20"/>
                <w:szCs w:val="20"/>
              </w:rPr>
              <w:t>9</w:t>
            </w:r>
          </w:p>
          <w:p w:rsidR="00AC1ABC" w:rsidRPr="002617F5" w:rsidRDefault="00AC1ABC" w:rsidP="003201D7">
            <w:pPr>
              <w:jc w:val="center"/>
              <w:rPr>
                <w:sz w:val="20"/>
                <w:szCs w:val="20"/>
              </w:rPr>
            </w:pPr>
            <w:r w:rsidRPr="002617F5">
              <w:rPr>
                <w:sz w:val="20"/>
                <w:szCs w:val="20"/>
              </w:rPr>
              <w:t>7</w:t>
            </w:r>
          </w:p>
        </w:tc>
        <w:tc>
          <w:tcPr>
            <w:tcW w:w="1437" w:type="dxa"/>
            <w:tcBorders>
              <w:top w:val="single" w:sz="4" w:space="0" w:color="auto"/>
              <w:bottom w:val="single" w:sz="4" w:space="0" w:color="auto"/>
            </w:tcBorders>
            <w:shd w:val="clear" w:color="auto" w:fill="auto"/>
          </w:tcPr>
          <w:p w:rsidR="00AC1ABC" w:rsidRPr="002617F5" w:rsidRDefault="00AC1ABC" w:rsidP="003201D7">
            <w:pPr>
              <w:jc w:val="center"/>
              <w:rPr>
                <w:sz w:val="20"/>
                <w:szCs w:val="20"/>
              </w:rPr>
            </w:pPr>
            <w:r w:rsidRPr="002617F5">
              <w:rPr>
                <w:sz w:val="20"/>
                <w:szCs w:val="20"/>
              </w:rPr>
              <w:t>-</w:t>
            </w:r>
          </w:p>
          <w:p w:rsidR="00AC1ABC" w:rsidRPr="002617F5" w:rsidRDefault="00AC1ABC" w:rsidP="003201D7">
            <w:pPr>
              <w:jc w:val="center"/>
              <w:rPr>
                <w:sz w:val="20"/>
                <w:szCs w:val="20"/>
              </w:rPr>
            </w:pPr>
            <w:r w:rsidRPr="002617F5">
              <w:rPr>
                <w:sz w:val="20"/>
                <w:szCs w:val="20"/>
              </w:rPr>
              <w:t>-</w:t>
            </w:r>
          </w:p>
        </w:tc>
        <w:tc>
          <w:tcPr>
            <w:tcW w:w="1495" w:type="dxa"/>
            <w:tcBorders>
              <w:top w:val="single" w:sz="4" w:space="0" w:color="auto"/>
              <w:bottom w:val="single" w:sz="4" w:space="0" w:color="auto"/>
            </w:tcBorders>
            <w:shd w:val="clear" w:color="auto" w:fill="auto"/>
          </w:tcPr>
          <w:p w:rsidR="00AC1ABC" w:rsidRPr="002617F5" w:rsidRDefault="00AC1ABC" w:rsidP="003201D7">
            <w:pPr>
              <w:jc w:val="center"/>
              <w:rPr>
                <w:sz w:val="20"/>
                <w:szCs w:val="20"/>
              </w:rPr>
            </w:pPr>
            <w:r w:rsidRPr="002617F5">
              <w:rPr>
                <w:sz w:val="20"/>
                <w:szCs w:val="20"/>
              </w:rPr>
              <w:t>5</w:t>
            </w:r>
          </w:p>
          <w:p w:rsidR="00AC1ABC" w:rsidRPr="002617F5" w:rsidRDefault="00AC1ABC" w:rsidP="003201D7">
            <w:pPr>
              <w:jc w:val="center"/>
              <w:rPr>
                <w:sz w:val="20"/>
                <w:szCs w:val="20"/>
              </w:rPr>
            </w:pPr>
            <w:r w:rsidRPr="002617F5">
              <w:rPr>
                <w:sz w:val="20"/>
                <w:szCs w:val="20"/>
              </w:rPr>
              <w:t>4</w:t>
            </w:r>
          </w:p>
        </w:tc>
        <w:tc>
          <w:tcPr>
            <w:tcW w:w="1237" w:type="dxa"/>
            <w:tcBorders>
              <w:top w:val="single" w:sz="4" w:space="0" w:color="auto"/>
              <w:bottom w:val="single" w:sz="4" w:space="0" w:color="auto"/>
            </w:tcBorders>
            <w:shd w:val="clear" w:color="auto" w:fill="auto"/>
          </w:tcPr>
          <w:p w:rsidR="00AC1ABC" w:rsidRPr="002617F5" w:rsidRDefault="00AC1ABC" w:rsidP="003201D7">
            <w:pPr>
              <w:jc w:val="center"/>
              <w:rPr>
                <w:sz w:val="20"/>
                <w:szCs w:val="20"/>
              </w:rPr>
            </w:pPr>
            <w:r w:rsidRPr="002617F5">
              <w:rPr>
                <w:sz w:val="20"/>
                <w:szCs w:val="20"/>
              </w:rPr>
              <w:t>-</w:t>
            </w:r>
          </w:p>
          <w:p w:rsidR="00AC1ABC" w:rsidRPr="002617F5" w:rsidRDefault="00AC1ABC" w:rsidP="003201D7">
            <w:pPr>
              <w:jc w:val="center"/>
              <w:rPr>
                <w:sz w:val="20"/>
                <w:szCs w:val="20"/>
              </w:rPr>
            </w:pPr>
            <w:r w:rsidRPr="002617F5">
              <w:rPr>
                <w:sz w:val="20"/>
                <w:szCs w:val="20"/>
              </w:rPr>
              <w:t>1</w:t>
            </w:r>
          </w:p>
        </w:tc>
        <w:tc>
          <w:tcPr>
            <w:tcW w:w="1049" w:type="dxa"/>
            <w:tcBorders>
              <w:top w:val="single" w:sz="4" w:space="0" w:color="auto"/>
              <w:bottom w:val="single" w:sz="4" w:space="0" w:color="auto"/>
            </w:tcBorders>
            <w:shd w:val="clear" w:color="auto" w:fill="auto"/>
          </w:tcPr>
          <w:p w:rsidR="00AC1ABC" w:rsidRPr="002617F5" w:rsidRDefault="00AC1ABC" w:rsidP="003201D7">
            <w:pPr>
              <w:jc w:val="center"/>
              <w:rPr>
                <w:sz w:val="20"/>
                <w:szCs w:val="20"/>
              </w:rPr>
            </w:pPr>
            <w:r w:rsidRPr="002617F5">
              <w:rPr>
                <w:sz w:val="20"/>
                <w:szCs w:val="20"/>
              </w:rPr>
              <w:t>14</w:t>
            </w:r>
          </w:p>
          <w:p w:rsidR="00AC1ABC" w:rsidRPr="002617F5" w:rsidRDefault="00AC1ABC" w:rsidP="003201D7">
            <w:pPr>
              <w:jc w:val="center"/>
              <w:rPr>
                <w:sz w:val="20"/>
                <w:szCs w:val="20"/>
              </w:rPr>
            </w:pPr>
            <w:r w:rsidRPr="002617F5">
              <w:rPr>
                <w:sz w:val="20"/>
                <w:szCs w:val="20"/>
              </w:rPr>
              <w:t>12</w:t>
            </w:r>
          </w:p>
        </w:tc>
      </w:tr>
      <w:tr w:rsidR="00AC1ABC" w:rsidRPr="002617F5" w:rsidTr="00EA7585">
        <w:trPr>
          <w:trHeight w:val="519"/>
          <w:jc w:val="center"/>
        </w:trPr>
        <w:tc>
          <w:tcPr>
            <w:tcW w:w="1701" w:type="dxa"/>
            <w:tcBorders>
              <w:top w:val="single" w:sz="4" w:space="0" w:color="auto"/>
              <w:bottom w:val="single" w:sz="4" w:space="0" w:color="auto"/>
            </w:tcBorders>
            <w:shd w:val="clear" w:color="auto" w:fill="auto"/>
            <w:vAlign w:val="center"/>
          </w:tcPr>
          <w:p w:rsidR="00AC1ABC" w:rsidRPr="002617F5" w:rsidRDefault="00AC1ABC" w:rsidP="00EA7585">
            <w:pPr>
              <w:rPr>
                <w:sz w:val="20"/>
                <w:szCs w:val="20"/>
              </w:rPr>
            </w:pPr>
            <w:r w:rsidRPr="002617F5">
              <w:rPr>
                <w:sz w:val="20"/>
                <w:szCs w:val="20"/>
              </w:rPr>
              <w:lastRenderedPageBreak/>
              <w:t>NWFP</w:t>
            </w:r>
          </w:p>
        </w:tc>
        <w:tc>
          <w:tcPr>
            <w:tcW w:w="972" w:type="dxa"/>
            <w:tcBorders>
              <w:top w:val="single" w:sz="4" w:space="0" w:color="auto"/>
              <w:bottom w:val="single" w:sz="4" w:space="0" w:color="auto"/>
            </w:tcBorders>
            <w:shd w:val="clear" w:color="auto" w:fill="auto"/>
          </w:tcPr>
          <w:p w:rsidR="00AC1ABC" w:rsidRPr="002617F5" w:rsidRDefault="00AC1ABC" w:rsidP="003201D7">
            <w:pPr>
              <w:jc w:val="both"/>
              <w:rPr>
                <w:sz w:val="20"/>
                <w:szCs w:val="20"/>
              </w:rPr>
            </w:pPr>
            <w:r w:rsidRPr="002617F5">
              <w:rPr>
                <w:sz w:val="20"/>
                <w:szCs w:val="20"/>
              </w:rPr>
              <w:t>Public Private</w:t>
            </w:r>
          </w:p>
        </w:tc>
        <w:tc>
          <w:tcPr>
            <w:tcW w:w="1231" w:type="dxa"/>
            <w:tcBorders>
              <w:top w:val="single" w:sz="4" w:space="0" w:color="auto"/>
              <w:bottom w:val="single" w:sz="4" w:space="0" w:color="auto"/>
            </w:tcBorders>
            <w:shd w:val="clear" w:color="auto" w:fill="auto"/>
          </w:tcPr>
          <w:p w:rsidR="00AC1ABC" w:rsidRPr="002617F5" w:rsidRDefault="00AC1ABC" w:rsidP="003201D7">
            <w:pPr>
              <w:jc w:val="center"/>
              <w:rPr>
                <w:sz w:val="20"/>
                <w:szCs w:val="20"/>
              </w:rPr>
            </w:pPr>
            <w:r w:rsidRPr="002617F5">
              <w:rPr>
                <w:sz w:val="20"/>
                <w:szCs w:val="20"/>
              </w:rPr>
              <w:t>11</w:t>
            </w:r>
          </w:p>
          <w:p w:rsidR="00AC1ABC" w:rsidRPr="002617F5" w:rsidRDefault="00AC1ABC" w:rsidP="003201D7">
            <w:pPr>
              <w:jc w:val="center"/>
              <w:rPr>
                <w:sz w:val="20"/>
                <w:szCs w:val="20"/>
              </w:rPr>
            </w:pPr>
            <w:r w:rsidRPr="002617F5">
              <w:rPr>
                <w:sz w:val="20"/>
                <w:szCs w:val="20"/>
              </w:rPr>
              <w:t>4</w:t>
            </w:r>
          </w:p>
        </w:tc>
        <w:tc>
          <w:tcPr>
            <w:tcW w:w="1437" w:type="dxa"/>
            <w:tcBorders>
              <w:top w:val="single" w:sz="4" w:space="0" w:color="auto"/>
              <w:bottom w:val="single" w:sz="4" w:space="0" w:color="auto"/>
            </w:tcBorders>
            <w:shd w:val="clear" w:color="auto" w:fill="auto"/>
          </w:tcPr>
          <w:p w:rsidR="00AC1ABC" w:rsidRPr="002617F5" w:rsidRDefault="00AC1ABC" w:rsidP="003201D7">
            <w:pPr>
              <w:jc w:val="center"/>
              <w:rPr>
                <w:sz w:val="20"/>
                <w:szCs w:val="20"/>
              </w:rPr>
            </w:pPr>
            <w:r w:rsidRPr="002617F5">
              <w:rPr>
                <w:sz w:val="20"/>
                <w:szCs w:val="20"/>
              </w:rPr>
              <w:t>1</w:t>
            </w:r>
          </w:p>
          <w:p w:rsidR="00AC1ABC" w:rsidRPr="002617F5" w:rsidRDefault="00AC1ABC" w:rsidP="003201D7">
            <w:pPr>
              <w:jc w:val="center"/>
              <w:rPr>
                <w:sz w:val="20"/>
                <w:szCs w:val="20"/>
              </w:rPr>
            </w:pPr>
            <w:r w:rsidRPr="002617F5">
              <w:rPr>
                <w:sz w:val="20"/>
                <w:szCs w:val="20"/>
              </w:rPr>
              <w:t>-</w:t>
            </w:r>
          </w:p>
        </w:tc>
        <w:tc>
          <w:tcPr>
            <w:tcW w:w="1495" w:type="dxa"/>
            <w:tcBorders>
              <w:top w:val="single" w:sz="4" w:space="0" w:color="auto"/>
              <w:bottom w:val="single" w:sz="4" w:space="0" w:color="auto"/>
            </w:tcBorders>
            <w:shd w:val="clear" w:color="auto" w:fill="auto"/>
          </w:tcPr>
          <w:p w:rsidR="00AC1ABC" w:rsidRPr="002617F5" w:rsidRDefault="00AC1ABC" w:rsidP="003201D7">
            <w:pPr>
              <w:jc w:val="center"/>
              <w:rPr>
                <w:sz w:val="20"/>
                <w:szCs w:val="20"/>
              </w:rPr>
            </w:pPr>
            <w:r w:rsidRPr="002617F5">
              <w:rPr>
                <w:sz w:val="20"/>
                <w:szCs w:val="20"/>
              </w:rPr>
              <w:t>4</w:t>
            </w:r>
          </w:p>
          <w:p w:rsidR="00AC1ABC" w:rsidRPr="002617F5" w:rsidRDefault="00AC1ABC" w:rsidP="003201D7">
            <w:pPr>
              <w:jc w:val="center"/>
              <w:rPr>
                <w:sz w:val="20"/>
                <w:szCs w:val="20"/>
              </w:rPr>
            </w:pPr>
            <w:r w:rsidRPr="002617F5">
              <w:rPr>
                <w:sz w:val="20"/>
                <w:szCs w:val="20"/>
              </w:rPr>
              <w:t>2</w:t>
            </w:r>
          </w:p>
        </w:tc>
        <w:tc>
          <w:tcPr>
            <w:tcW w:w="1237" w:type="dxa"/>
            <w:tcBorders>
              <w:top w:val="single" w:sz="4" w:space="0" w:color="auto"/>
              <w:bottom w:val="single" w:sz="4" w:space="0" w:color="auto"/>
            </w:tcBorders>
            <w:shd w:val="clear" w:color="auto" w:fill="auto"/>
          </w:tcPr>
          <w:p w:rsidR="00AC1ABC" w:rsidRPr="002617F5" w:rsidRDefault="00AC1ABC" w:rsidP="003201D7">
            <w:pPr>
              <w:jc w:val="center"/>
              <w:rPr>
                <w:sz w:val="20"/>
                <w:szCs w:val="20"/>
              </w:rPr>
            </w:pPr>
            <w:r w:rsidRPr="002617F5">
              <w:rPr>
                <w:sz w:val="20"/>
                <w:szCs w:val="20"/>
              </w:rPr>
              <w:t>1</w:t>
            </w:r>
          </w:p>
          <w:p w:rsidR="00AC1ABC" w:rsidRPr="002617F5" w:rsidRDefault="00AC1ABC" w:rsidP="003201D7">
            <w:pPr>
              <w:jc w:val="center"/>
              <w:rPr>
                <w:sz w:val="20"/>
                <w:szCs w:val="20"/>
              </w:rPr>
            </w:pPr>
            <w:r w:rsidRPr="002617F5">
              <w:rPr>
                <w:sz w:val="20"/>
                <w:szCs w:val="20"/>
              </w:rPr>
              <w:t>1</w:t>
            </w:r>
          </w:p>
        </w:tc>
        <w:tc>
          <w:tcPr>
            <w:tcW w:w="1049" w:type="dxa"/>
            <w:tcBorders>
              <w:top w:val="single" w:sz="4" w:space="0" w:color="auto"/>
              <w:bottom w:val="single" w:sz="4" w:space="0" w:color="auto"/>
            </w:tcBorders>
            <w:shd w:val="clear" w:color="auto" w:fill="auto"/>
          </w:tcPr>
          <w:p w:rsidR="00AC1ABC" w:rsidRPr="002617F5" w:rsidRDefault="00AC1ABC" w:rsidP="003201D7">
            <w:pPr>
              <w:jc w:val="center"/>
              <w:rPr>
                <w:sz w:val="20"/>
                <w:szCs w:val="20"/>
              </w:rPr>
            </w:pPr>
            <w:r w:rsidRPr="002617F5">
              <w:rPr>
                <w:sz w:val="20"/>
                <w:szCs w:val="20"/>
              </w:rPr>
              <w:t>17</w:t>
            </w:r>
          </w:p>
          <w:p w:rsidR="00AC1ABC" w:rsidRPr="002617F5" w:rsidRDefault="00AC1ABC" w:rsidP="003201D7">
            <w:pPr>
              <w:jc w:val="center"/>
              <w:rPr>
                <w:sz w:val="20"/>
                <w:szCs w:val="20"/>
              </w:rPr>
            </w:pPr>
            <w:r w:rsidRPr="002617F5">
              <w:rPr>
                <w:sz w:val="20"/>
                <w:szCs w:val="20"/>
              </w:rPr>
              <w:t>7</w:t>
            </w:r>
          </w:p>
        </w:tc>
      </w:tr>
      <w:tr w:rsidR="00AC1ABC" w:rsidRPr="002617F5" w:rsidTr="00EA7585">
        <w:trPr>
          <w:trHeight w:val="504"/>
          <w:jc w:val="center"/>
        </w:trPr>
        <w:tc>
          <w:tcPr>
            <w:tcW w:w="1701" w:type="dxa"/>
            <w:tcBorders>
              <w:top w:val="single" w:sz="4" w:space="0" w:color="auto"/>
              <w:bottom w:val="single" w:sz="4" w:space="0" w:color="auto"/>
            </w:tcBorders>
            <w:shd w:val="clear" w:color="auto" w:fill="auto"/>
            <w:vAlign w:val="center"/>
          </w:tcPr>
          <w:p w:rsidR="00AC1ABC" w:rsidRPr="002617F5" w:rsidRDefault="00AC1ABC" w:rsidP="00EA7585">
            <w:pPr>
              <w:rPr>
                <w:sz w:val="20"/>
                <w:szCs w:val="20"/>
              </w:rPr>
            </w:pPr>
            <w:r w:rsidRPr="002617F5">
              <w:rPr>
                <w:sz w:val="20"/>
                <w:szCs w:val="20"/>
              </w:rPr>
              <w:t>Punjab</w:t>
            </w:r>
          </w:p>
        </w:tc>
        <w:tc>
          <w:tcPr>
            <w:tcW w:w="972" w:type="dxa"/>
            <w:tcBorders>
              <w:top w:val="single" w:sz="4" w:space="0" w:color="auto"/>
              <w:bottom w:val="single" w:sz="4" w:space="0" w:color="auto"/>
            </w:tcBorders>
            <w:shd w:val="clear" w:color="auto" w:fill="auto"/>
          </w:tcPr>
          <w:p w:rsidR="00AC1ABC" w:rsidRPr="002617F5" w:rsidRDefault="00AC1ABC" w:rsidP="003201D7">
            <w:pPr>
              <w:jc w:val="both"/>
              <w:rPr>
                <w:sz w:val="20"/>
                <w:szCs w:val="20"/>
              </w:rPr>
            </w:pPr>
            <w:r w:rsidRPr="002617F5">
              <w:rPr>
                <w:sz w:val="20"/>
                <w:szCs w:val="20"/>
              </w:rPr>
              <w:t>Public Private</w:t>
            </w:r>
          </w:p>
        </w:tc>
        <w:tc>
          <w:tcPr>
            <w:tcW w:w="1231" w:type="dxa"/>
            <w:tcBorders>
              <w:top w:val="single" w:sz="4" w:space="0" w:color="auto"/>
              <w:bottom w:val="single" w:sz="4" w:space="0" w:color="auto"/>
            </w:tcBorders>
            <w:shd w:val="clear" w:color="auto" w:fill="auto"/>
          </w:tcPr>
          <w:p w:rsidR="00AC1ABC" w:rsidRPr="002617F5" w:rsidRDefault="00AC1ABC" w:rsidP="003201D7">
            <w:pPr>
              <w:jc w:val="center"/>
              <w:rPr>
                <w:sz w:val="20"/>
                <w:szCs w:val="20"/>
              </w:rPr>
            </w:pPr>
            <w:r w:rsidRPr="002617F5">
              <w:rPr>
                <w:sz w:val="20"/>
                <w:szCs w:val="20"/>
              </w:rPr>
              <w:t>15</w:t>
            </w:r>
          </w:p>
          <w:p w:rsidR="00AC1ABC" w:rsidRPr="002617F5" w:rsidRDefault="00AC1ABC" w:rsidP="003201D7">
            <w:pPr>
              <w:jc w:val="center"/>
              <w:rPr>
                <w:sz w:val="20"/>
                <w:szCs w:val="20"/>
              </w:rPr>
            </w:pPr>
            <w:r w:rsidRPr="002617F5">
              <w:rPr>
                <w:sz w:val="20"/>
                <w:szCs w:val="20"/>
              </w:rPr>
              <w:t>20</w:t>
            </w:r>
          </w:p>
        </w:tc>
        <w:tc>
          <w:tcPr>
            <w:tcW w:w="1437" w:type="dxa"/>
            <w:tcBorders>
              <w:top w:val="single" w:sz="4" w:space="0" w:color="auto"/>
              <w:bottom w:val="single" w:sz="4" w:space="0" w:color="auto"/>
            </w:tcBorders>
            <w:shd w:val="clear" w:color="auto" w:fill="auto"/>
          </w:tcPr>
          <w:p w:rsidR="00AC1ABC" w:rsidRPr="002617F5" w:rsidRDefault="00AC1ABC" w:rsidP="003201D7">
            <w:pPr>
              <w:jc w:val="center"/>
              <w:rPr>
                <w:sz w:val="20"/>
                <w:szCs w:val="20"/>
              </w:rPr>
            </w:pPr>
            <w:r w:rsidRPr="002617F5">
              <w:rPr>
                <w:sz w:val="20"/>
                <w:szCs w:val="20"/>
              </w:rPr>
              <w:t>1</w:t>
            </w:r>
          </w:p>
          <w:p w:rsidR="00AC1ABC" w:rsidRPr="002617F5" w:rsidRDefault="00AC1ABC" w:rsidP="003201D7">
            <w:pPr>
              <w:jc w:val="center"/>
              <w:rPr>
                <w:sz w:val="20"/>
                <w:szCs w:val="20"/>
              </w:rPr>
            </w:pPr>
            <w:r w:rsidRPr="002617F5">
              <w:rPr>
                <w:sz w:val="20"/>
                <w:szCs w:val="20"/>
              </w:rPr>
              <w:t>-</w:t>
            </w:r>
          </w:p>
        </w:tc>
        <w:tc>
          <w:tcPr>
            <w:tcW w:w="1495" w:type="dxa"/>
            <w:tcBorders>
              <w:top w:val="single" w:sz="4" w:space="0" w:color="auto"/>
              <w:bottom w:val="single" w:sz="4" w:space="0" w:color="auto"/>
            </w:tcBorders>
            <w:shd w:val="clear" w:color="auto" w:fill="auto"/>
          </w:tcPr>
          <w:p w:rsidR="00AC1ABC" w:rsidRPr="002617F5" w:rsidRDefault="00AC1ABC" w:rsidP="003201D7">
            <w:pPr>
              <w:jc w:val="center"/>
              <w:rPr>
                <w:sz w:val="20"/>
                <w:szCs w:val="20"/>
              </w:rPr>
            </w:pPr>
            <w:r w:rsidRPr="002617F5">
              <w:rPr>
                <w:sz w:val="20"/>
                <w:szCs w:val="20"/>
              </w:rPr>
              <w:t>5</w:t>
            </w:r>
          </w:p>
          <w:p w:rsidR="00AC1ABC" w:rsidRPr="002617F5" w:rsidRDefault="00AC1ABC" w:rsidP="003201D7">
            <w:pPr>
              <w:jc w:val="center"/>
              <w:rPr>
                <w:sz w:val="20"/>
                <w:szCs w:val="20"/>
              </w:rPr>
            </w:pPr>
            <w:r w:rsidRPr="002617F5">
              <w:rPr>
                <w:sz w:val="20"/>
                <w:szCs w:val="20"/>
              </w:rPr>
              <w:t>1</w:t>
            </w:r>
          </w:p>
        </w:tc>
        <w:tc>
          <w:tcPr>
            <w:tcW w:w="1237" w:type="dxa"/>
            <w:tcBorders>
              <w:top w:val="single" w:sz="4" w:space="0" w:color="auto"/>
              <w:bottom w:val="single" w:sz="4" w:space="0" w:color="auto"/>
            </w:tcBorders>
            <w:shd w:val="clear" w:color="auto" w:fill="auto"/>
          </w:tcPr>
          <w:p w:rsidR="00AC1ABC" w:rsidRPr="002617F5" w:rsidRDefault="00AC1ABC" w:rsidP="003201D7">
            <w:pPr>
              <w:jc w:val="center"/>
              <w:rPr>
                <w:sz w:val="20"/>
                <w:szCs w:val="20"/>
              </w:rPr>
            </w:pPr>
            <w:r w:rsidRPr="002617F5">
              <w:rPr>
                <w:sz w:val="20"/>
                <w:szCs w:val="20"/>
              </w:rPr>
              <w:t>3</w:t>
            </w:r>
          </w:p>
          <w:p w:rsidR="00AC1ABC" w:rsidRPr="002617F5" w:rsidRDefault="00AC1ABC" w:rsidP="003201D7">
            <w:pPr>
              <w:jc w:val="center"/>
              <w:rPr>
                <w:sz w:val="20"/>
                <w:szCs w:val="20"/>
              </w:rPr>
            </w:pPr>
            <w:r w:rsidRPr="002617F5">
              <w:rPr>
                <w:sz w:val="20"/>
                <w:szCs w:val="20"/>
              </w:rPr>
              <w:t>-</w:t>
            </w:r>
          </w:p>
        </w:tc>
        <w:tc>
          <w:tcPr>
            <w:tcW w:w="1049" w:type="dxa"/>
            <w:tcBorders>
              <w:top w:val="single" w:sz="4" w:space="0" w:color="auto"/>
              <w:bottom w:val="single" w:sz="4" w:space="0" w:color="auto"/>
            </w:tcBorders>
            <w:shd w:val="clear" w:color="auto" w:fill="auto"/>
          </w:tcPr>
          <w:p w:rsidR="00AC1ABC" w:rsidRPr="002617F5" w:rsidRDefault="00AC1ABC" w:rsidP="003201D7">
            <w:pPr>
              <w:jc w:val="center"/>
              <w:rPr>
                <w:sz w:val="20"/>
                <w:szCs w:val="20"/>
              </w:rPr>
            </w:pPr>
            <w:r w:rsidRPr="002617F5">
              <w:rPr>
                <w:sz w:val="20"/>
                <w:szCs w:val="20"/>
              </w:rPr>
              <w:t>24</w:t>
            </w:r>
          </w:p>
          <w:p w:rsidR="00AC1ABC" w:rsidRPr="002617F5" w:rsidRDefault="00AC1ABC" w:rsidP="003201D7">
            <w:pPr>
              <w:jc w:val="center"/>
              <w:rPr>
                <w:sz w:val="20"/>
                <w:szCs w:val="20"/>
              </w:rPr>
            </w:pPr>
            <w:r w:rsidRPr="002617F5">
              <w:rPr>
                <w:sz w:val="20"/>
                <w:szCs w:val="20"/>
              </w:rPr>
              <w:t>21</w:t>
            </w:r>
          </w:p>
        </w:tc>
      </w:tr>
      <w:tr w:rsidR="00AC1ABC" w:rsidRPr="002617F5" w:rsidTr="00EA7585">
        <w:trPr>
          <w:trHeight w:val="519"/>
          <w:jc w:val="center"/>
        </w:trPr>
        <w:tc>
          <w:tcPr>
            <w:tcW w:w="1701" w:type="dxa"/>
            <w:tcBorders>
              <w:top w:val="single" w:sz="4" w:space="0" w:color="auto"/>
              <w:bottom w:val="single" w:sz="4" w:space="0" w:color="auto"/>
            </w:tcBorders>
            <w:shd w:val="clear" w:color="auto" w:fill="auto"/>
            <w:vAlign w:val="center"/>
          </w:tcPr>
          <w:p w:rsidR="00AC1ABC" w:rsidRPr="002617F5" w:rsidRDefault="00AC1ABC" w:rsidP="00EA7585">
            <w:pPr>
              <w:rPr>
                <w:sz w:val="20"/>
                <w:szCs w:val="20"/>
              </w:rPr>
            </w:pPr>
            <w:r w:rsidRPr="002617F5">
              <w:rPr>
                <w:sz w:val="20"/>
                <w:szCs w:val="20"/>
              </w:rPr>
              <w:t>Sindh</w:t>
            </w:r>
          </w:p>
        </w:tc>
        <w:tc>
          <w:tcPr>
            <w:tcW w:w="972" w:type="dxa"/>
            <w:tcBorders>
              <w:top w:val="single" w:sz="4" w:space="0" w:color="auto"/>
              <w:bottom w:val="single" w:sz="4" w:space="0" w:color="auto"/>
            </w:tcBorders>
            <w:shd w:val="clear" w:color="auto" w:fill="auto"/>
          </w:tcPr>
          <w:p w:rsidR="00AC1ABC" w:rsidRPr="002617F5" w:rsidRDefault="00AC1ABC" w:rsidP="003201D7">
            <w:pPr>
              <w:jc w:val="both"/>
              <w:rPr>
                <w:sz w:val="20"/>
                <w:szCs w:val="20"/>
              </w:rPr>
            </w:pPr>
            <w:r w:rsidRPr="002617F5">
              <w:rPr>
                <w:sz w:val="20"/>
                <w:szCs w:val="20"/>
              </w:rPr>
              <w:t>Public Private</w:t>
            </w:r>
          </w:p>
        </w:tc>
        <w:tc>
          <w:tcPr>
            <w:tcW w:w="1231" w:type="dxa"/>
            <w:tcBorders>
              <w:top w:val="single" w:sz="4" w:space="0" w:color="auto"/>
              <w:bottom w:val="single" w:sz="4" w:space="0" w:color="auto"/>
            </w:tcBorders>
            <w:shd w:val="clear" w:color="auto" w:fill="auto"/>
          </w:tcPr>
          <w:p w:rsidR="00AC1ABC" w:rsidRPr="002617F5" w:rsidRDefault="00AC1ABC" w:rsidP="003201D7">
            <w:pPr>
              <w:jc w:val="center"/>
              <w:rPr>
                <w:sz w:val="20"/>
                <w:szCs w:val="20"/>
              </w:rPr>
            </w:pPr>
            <w:r w:rsidRPr="002617F5">
              <w:rPr>
                <w:sz w:val="20"/>
                <w:szCs w:val="20"/>
              </w:rPr>
              <w:t>13</w:t>
            </w:r>
          </w:p>
          <w:p w:rsidR="00AC1ABC" w:rsidRPr="002617F5" w:rsidRDefault="00AC1ABC" w:rsidP="003201D7">
            <w:pPr>
              <w:jc w:val="center"/>
              <w:rPr>
                <w:sz w:val="20"/>
                <w:szCs w:val="20"/>
              </w:rPr>
            </w:pPr>
            <w:r w:rsidRPr="002617F5">
              <w:rPr>
                <w:sz w:val="20"/>
                <w:szCs w:val="20"/>
              </w:rPr>
              <w:t>16</w:t>
            </w:r>
          </w:p>
        </w:tc>
        <w:tc>
          <w:tcPr>
            <w:tcW w:w="1437" w:type="dxa"/>
            <w:tcBorders>
              <w:top w:val="single" w:sz="4" w:space="0" w:color="auto"/>
              <w:bottom w:val="single" w:sz="4" w:space="0" w:color="auto"/>
            </w:tcBorders>
            <w:shd w:val="clear" w:color="auto" w:fill="auto"/>
          </w:tcPr>
          <w:p w:rsidR="00AC1ABC" w:rsidRPr="002617F5" w:rsidRDefault="00AC1ABC" w:rsidP="003201D7">
            <w:pPr>
              <w:jc w:val="center"/>
              <w:rPr>
                <w:sz w:val="20"/>
                <w:szCs w:val="20"/>
              </w:rPr>
            </w:pPr>
            <w:r w:rsidRPr="002617F5">
              <w:rPr>
                <w:sz w:val="20"/>
                <w:szCs w:val="20"/>
              </w:rPr>
              <w:t>1</w:t>
            </w:r>
          </w:p>
          <w:p w:rsidR="00AC1ABC" w:rsidRPr="002617F5" w:rsidRDefault="00AC1ABC" w:rsidP="003201D7">
            <w:pPr>
              <w:jc w:val="center"/>
              <w:rPr>
                <w:sz w:val="20"/>
                <w:szCs w:val="20"/>
              </w:rPr>
            </w:pPr>
            <w:r w:rsidRPr="002617F5">
              <w:rPr>
                <w:sz w:val="20"/>
                <w:szCs w:val="20"/>
              </w:rPr>
              <w:t>-</w:t>
            </w:r>
          </w:p>
        </w:tc>
        <w:tc>
          <w:tcPr>
            <w:tcW w:w="1495" w:type="dxa"/>
            <w:tcBorders>
              <w:top w:val="single" w:sz="4" w:space="0" w:color="auto"/>
              <w:bottom w:val="single" w:sz="4" w:space="0" w:color="auto"/>
            </w:tcBorders>
            <w:shd w:val="clear" w:color="auto" w:fill="auto"/>
          </w:tcPr>
          <w:p w:rsidR="00AC1ABC" w:rsidRPr="002617F5" w:rsidRDefault="00AC1ABC" w:rsidP="003201D7">
            <w:pPr>
              <w:jc w:val="center"/>
              <w:rPr>
                <w:sz w:val="20"/>
                <w:szCs w:val="20"/>
              </w:rPr>
            </w:pPr>
            <w:r w:rsidRPr="002617F5">
              <w:rPr>
                <w:sz w:val="20"/>
                <w:szCs w:val="20"/>
              </w:rPr>
              <w:t>6</w:t>
            </w:r>
          </w:p>
          <w:p w:rsidR="00AC1ABC" w:rsidRPr="002617F5" w:rsidRDefault="00AC1ABC" w:rsidP="003201D7">
            <w:pPr>
              <w:jc w:val="center"/>
              <w:rPr>
                <w:sz w:val="20"/>
                <w:szCs w:val="20"/>
              </w:rPr>
            </w:pPr>
            <w:r w:rsidRPr="002617F5">
              <w:rPr>
                <w:sz w:val="20"/>
                <w:szCs w:val="20"/>
              </w:rPr>
              <w:t>3</w:t>
            </w:r>
          </w:p>
        </w:tc>
        <w:tc>
          <w:tcPr>
            <w:tcW w:w="1237" w:type="dxa"/>
            <w:tcBorders>
              <w:top w:val="single" w:sz="4" w:space="0" w:color="auto"/>
              <w:bottom w:val="single" w:sz="4" w:space="0" w:color="auto"/>
            </w:tcBorders>
            <w:shd w:val="clear" w:color="auto" w:fill="auto"/>
          </w:tcPr>
          <w:p w:rsidR="00AC1ABC" w:rsidRPr="002617F5" w:rsidRDefault="00AC1ABC" w:rsidP="003201D7">
            <w:pPr>
              <w:jc w:val="center"/>
              <w:rPr>
                <w:sz w:val="20"/>
                <w:szCs w:val="20"/>
              </w:rPr>
            </w:pPr>
            <w:r w:rsidRPr="002617F5">
              <w:rPr>
                <w:sz w:val="20"/>
                <w:szCs w:val="20"/>
              </w:rPr>
              <w:t>2</w:t>
            </w:r>
          </w:p>
          <w:p w:rsidR="00AC1ABC" w:rsidRPr="002617F5" w:rsidRDefault="00AC1ABC" w:rsidP="003201D7">
            <w:pPr>
              <w:jc w:val="center"/>
              <w:rPr>
                <w:sz w:val="20"/>
                <w:szCs w:val="20"/>
              </w:rPr>
            </w:pPr>
            <w:r w:rsidRPr="002617F5">
              <w:rPr>
                <w:sz w:val="20"/>
                <w:szCs w:val="20"/>
              </w:rPr>
              <w:t>3</w:t>
            </w:r>
          </w:p>
        </w:tc>
        <w:tc>
          <w:tcPr>
            <w:tcW w:w="1049" w:type="dxa"/>
            <w:tcBorders>
              <w:top w:val="single" w:sz="4" w:space="0" w:color="auto"/>
              <w:bottom w:val="single" w:sz="4" w:space="0" w:color="auto"/>
            </w:tcBorders>
            <w:shd w:val="clear" w:color="auto" w:fill="auto"/>
          </w:tcPr>
          <w:p w:rsidR="00AC1ABC" w:rsidRPr="002617F5" w:rsidRDefault="00AC1ABC" w:rsidP="003201D7">
            <w:pPr>
              <w:jc w:val="center"/>
              <w:rPr>
                <w:sz w:val="20"/>
                <w:szCs w:val="20"/>
              </w:rPr>
            </w:pPr>
            <w:r w:rsidRPr="002617F5">
              <w:rPr>
                <w:sz w:val="20"/>
                <w:szCs w:val="20"/>
              </w:rPr>
              <w:t>22</w:t>
            </w:r>
          </w:p>
          <w:p w:rsidR="00AC1ABC" w:rsidRPr="002617F5" w:rsidRDefault="00AC1ABC" w:rsidP="003201D7">
            <w:pPr>
              <w:jc w:val="center"/>
              <w:rPr>
                <w:sz w:val="20"/>
                <w:szCs w:val="20"/>
              </w:rPr>
            </w:pPr>
            <w:r w:rsidRPr="002617F5">
              <w:rPr>
                <w:sz w:val="20"/>
                <w:szCs w:val="20"/>
              </w:rPr>
              <w:t>22</w:t>
            </w:r>
          </w:p>
        </w:tc>
      </w:tr>
      <w:tr w:rsidR="00AC1ABC" w:rsidRPr="002617F5" w:rsidTr="00EA7585">
        <w:trPr>
          <w:trHeight w:val="504"/>
          <w:jc w:val="center"/>
        </w:trPr>
        <w:tc>
          <w:tcPr>
            <w:tcW w:w="1701" w:type="dxa"/>
            <w:tcBorders>
              <w:top w:val="single" w:sz="4" w:space="0" w:color="auto"/>
              <w:bottom w:val="single" w:sz="4" w:space="0" w:color="auto"/>
            </w:tcBorders>
            <w:shd w:val="clear" w:color="auto" w:fill="auto"/>
            <w:vAlign w:val="center"/>
          </w:tcPr>
          <w:p w:rsidR="00AC1ABC" w:rsidRPr="002617F5" w:rsidRDefault="00AC1ABC" w:rsidP="00EA7585">
            <w:pPr>
              <w:rPr>
                <w:sz w:val="20"/>
                <w:szCs w:val="20"/>
              </w:rPr>
            </w:pPr>
            <w:r w:rsidRPr="002617F5">
              <w:rPr>
                <w:sz w:val="20"/>
                <w:szCs w:val="20"/>
              </w:rPr>
              <w:t>Gilgit-Baltistan</w:t>
            </w:r>
          </w:p>
        </w:tc>
        <w:tc>
          <w:tcPr>
            <w:tcW w:w="972" w:type="dxa"/>
            <w:tcBorders>
              <w:top w:val="single" w:sz="4" w:space="0" w:color="auto"/>
              <w:bottom w:val="single" w:sz="4" w:space="0" w:color="auto"/>
            </w:tcBorders>
            <w:shd w:val="clear" w:color="auto" w:fill="auto"/>
          </w:tcPr>
          <w:p w:rsidR="00AC1ABC" w:rsidRPr="002617F5" w:rsidRDefault="00AC1ABC" w:rsidP="003201D7">
            <w:pPr>
              <w:jc w:val="both"/>
              <w:rPr>
                <w:sz w:val="20"/>
                <w:szCs w:val="20"/>
              </w:rPr>
            </w:pPr>
            <w:r w:rsidRPr="002617F5">
              <w:rPr>
                <w:sz w:val="20"/>
                <w:szCs w:val="20"/>
              </w:rPr>
              <w:t>Public Private</w:t>
            </w:r>
          </w:p>
        </w:tc>
        <w:tc>
          <w:tcPr>
            <w:tcW w:w="1231" w:type="dxa"/>
            <w:tcBorders>
              <w:top w:val="single" w:sz="4" w:space="0" w:color="auto"/>
              <w:bottom w:val="single" w:sz="4" w:space="0" w:color="auto"/>
            </w:tcBorders>
            <w:shd w:val="clear" w:color="auto" w:fill="auto"/>
          </w:tcPr>
          <w:p w:rsidR="00AC1ABC" w:rsidRPr="002617F5" w:rsidRDefault="00AC1ABC" w:rsidP="003201D7">
            <w:pPr>
              <w:jc w:val="center"/>
              <w:rPr>
                <w:sz w:val="20"/>
                <w:szCs w:val="20"/>
              </w:rPr>
            </w:pPr>
            <w:r w:rsidRPr="002617F5">
              <w:rPr>
                <w:sz w:val="20"/>
                <w:szCs w:val="20"/>
              </w:rPr>
              <w:t>1</w:t>
            </w:r>
          </w:p>
          <w:p w:rsidR="00AC1ABC" w:rsidRPr="002617F5" w:rsidRDefault="00AC1ABC" w:rsidP="003201D7">
            <w:pPr>
              <w:jc w:val="center"/>
              <w:rPr>
                <w:sz w:val="20"/>
                <w:szCs w:val="20"/>
              </w:rPr>
            </w:pPr>
            <w:r w:rsidRPr="002617F5">
              <w:rPr>
                <w:sz w:val="20"/>
                <w:szCs w:val="20"/>
              </w:rPr>
              <w:t>-</w:t>
            </w:r>
          </w:p>
        </w:tc>
        <w:tc>
          <w:tcPr>
            <w:tcW w:w="1437" w:type="dxa"/>
            <w:tcBorders>
              <w:top w:val="single" w:sz="4" w:space="0" w:color="auto"/>
              <w:bottom w:val="single" w:sz="4" w:space="0" w:color="auto"/>
            </w:tcBorders>
            <w:shd w:val="clear" w:color="auto" w:fill="auto"/>
          </w:tcPr>
          <w:p w:rsidR="00AC1ABC" w:rsidRPr="002617F5" w:rsidRDefault="00AC1ABC" w:rsidP="003201D7">
            <w:pPr>
              <w:jc w:val="center"/>
              <w:rPr>
                <w:sz w:val="20"/>
                <w:szCs w:val="20"/>
              </w:rPr>
            </w:pPr>
            <w:r w:rsidRPr="002617F5">
              <w:rPr>
                <w:sz w:val="20"/>
                <w:szCs w:val="20"/>
              </w:rPr>
              <w:t>-</w:t>
            </w:r>
          </w:p>
          <w:p w:rsidR="00AC1ABC" w:rsidRPr="002617F5" w:rsidRDefault="00AC1ABC" w:rsidP="003201D7">
            <w:pPr>
              <w:jc w:val="center"/>
              <w:rPr>
                <w:sz w:val="20"/>
                <w:szCs w:val="20"/>
              </w:rPr>
            </w:pPr>
            <w:r w:rsidRPr="002617F5">
              <w:rPr>
                <w:sz w:val="20"/>
                <w:szCs w:val="20"/>
              </w:rPr>
              <w:t>-</w:t>
            </w:r>
          </w:p>
        </w:tc>
        <w:tc>
          <w:tcPr>
            <w:tcW w:w="1495" w:type="dxa"/>
            <w:tcBorders>
              <w:top w:val="single" w:sz="4" w:space="0" w:color="auto"/>
              <w:bottom w:val="single" w:sz="4" w:space="0" w:color="auto"/>
            </w:tcBorders>
            <w:shd w:val="clear" w:color="auto" w:fill="auto"/>
          </w:tcPr>
          <w:p w:rsidR="00AC1ABC" w:rsidRPr="002617F5" w:rsidRDefault="00AC1ABC" w:rsidP="003201D7">
            <w:pPr>
              <w:jc w:val="center"/>
              <w:rPr>
                <w:sz w:val="20"/>
                <w:szCs w:val="20"/>
              </w:rPr>
            </w:pPr>
            <w:r w:rsidRPr="002617F5">
              <w:rPr>
                <w:sz w:val="20"/>
                <w:szCs w:val="20"/>
              </w:rPr>
              <w:t>-</w:t>
            </w:r>
          </w:p>
          <w:p w:rsidR="00AC1ABC" w:rsidRPr="002617F5" w:rsidRDefault="00AC1ABC" w:rsidP="003201D7">
            <w:pPr>
              <w:jc w:val="center"/>
              <w:rPr>
                <w:sz w:val="20"/>
                <w:szCs w:val="20"/>
              </w:rPr>
            </w:pPr>
            <w:r w:rsidRPr="002617F5">
              <w:rPr>
                <w:sz w:val="20"/>
                <w:szCs w:val="20"/>
              </w:rPr>
              <w:t>-</w:t>
            </w:r>
          </w:p>
        </w:tc>
        <w:tc>
          <w:tcPr>
            <w:tcW w:w="1237" w:type="dxa"/>
            <w:tcBorders>
              <w:top w:val="single" w:sz="4" w:space="0" w:color="auto"/>
              <w:bottom w:val="single" w:sz="4" w:space="0" w:color="auto"/>
            </w:tcBorders>
            <w:shd w:val="clear" w:color="auto" w:fill="auto"/>
          </w:tcPr>
          <w:p w:rsidR="00AC1ABC" w:rsidRPr="002617F5" w:rsidRDefault="00AC1ABC" w:rsidP="003201D7">
            <w:pPr>
              <w:jc w:val="center"/>
              <w:rPr>
                <w:sz w:val="20"/>
                <w:szCs w:val="20"/>
              </w:rPr>
            </w:pPr>
            <w:r w:rsidRPr="002617F5">
              <w:rPr>
                <w:sz w:val="20"/>
                <w:szCs w:val="20"/>
              </w:rPr>
              <w:t>-</w:t>
            </w:r>
          </w:p>
          <w:p w:rsidR="00AC1ABC" w:rsidRPr="002617F5" w:rsidRDefault="00AC1ABC" w:rsidP="003201D7">
            <w:pPr>
              <w:jc w:val="center"/>
              <w:rPr>
                <w:sz w:val="20"/>
                <w:szCs w:val="20"/>
              </w:rPr>
            </w:pPr>
            <w:r w:rsidRPr="002617F5">
              <w:rPr>
                <w:sz w:val="20"/>
                <w:szCs w:val="20"/>
              </w:rPr>
              <w:t>-</w:t>
            </w:r>
          </w:p>
        </w:tc>
        <w:tc>
          <w:tcPr>
            <w:tcW w:w="1049" w:type="dxa"/>
            <w:tcBorders>
              <w:top w:val="single" w:sz="4" w:space="0" w:color="auto"/>
              <w:bottom w:val="single" w:sz="4" w:space="0" w:color="auto"/>
            </w:tcBorders>
            <w:shd w:val="clear" w:color="auto" w:fill="auto"/>
          </w:tcPr>
          <w:p w:rsidR="00AC1ABC" w:rsidRPr="002617F5" w:rsidRDefault="00AC1ABC" w:rsidP="003201D7">
            <w:pPr>
              <w:jc w:val="center"/>
              <w:rPr>
                <w:sz w:val="20"/>
                <w:szCs w:val="20"/>
              </w:rPr>
            </w:pPr>
            <w:r w:rsidRPr="002617F5">
              <w:rPr>
                <w:sz w:val="20"/>
                <w:szCs w:val="20"/>
              </w:rPr>
              <w:t>1</w:t>
            </w:r>
          </w:p>
          <w:p w:rsidR="00AC1ABC" w:rsidRPr="002617F5" w:rsidRDefault="00AC1ABC" w:rsidP="003201D7">
            <w:pPr>
              <w:jc w:val="center"/>
              <w:rPr>
                <w:sz w:val="20"/>
                <w:szCs w:val="20"/>
              </w:rPr>
            </w:pPr>
            <w:r w:rsidRPr="002617F5">
              <w:rPr>
                <w:sz w:val="20"/>
                <w:szCs w:val="20"/>
              </w:rPr>
              <w:t>-</w:t>
            </w:r>
          </w:p>
        </w:tc>
      </w:tr>
      <w:tr w:rsidR="00AC1ABC" w:rsidRPr="002617F5" w:rsidTr="00EA7585">
        <w:trPr>
          <w:trHeight w:val="504"/>
          <w:jc w:val="center"/>
        </w:trPr>
        <w:tc>
          <w:tcPr>
            <w:tcW w:w="1701" w:type="dxa"/>
            <w:tcBorders>
              <w:top w:val="single" w:sz="4" w:space="0" w:color="auto"/>
              <w:bottom w:val="single" w:sz="4" w:space="0" w:color="auto"/>
            </w:tcBorders>
            <w:shd w:val="clear" w:color="auto" w:fill="auto"/>
            <w:vAlign w:val="center"/>
          </w:tcPr>
          <w:p w:rsidR="00AC1ABC" w:rsidRPr="002617F5" w:rsidRDefault="00AC1ABC" w:rsidP="00EA7585">
            <w:pPr>
              <w:rPr>
                <w:sz w:val="20"/>
                <w:szCs w:val="20"/>
              </w:rPr>
            </w:pPr>
            <w:r w:rsidRPr="002617F5">
              <w:rPr>
                <w:sz w:val="20"/>
                <w:szCs w:val="20"/>
              </w:rPr>
              <w:t>Sub Total</w:t>
            </w:r>
          </w:p>
        </w:tc>
        <w:tc>
          <w:tcPr>
            <w:tcW w:w="972" w:type="dxa"/>
            <w:tcBorders>
              <w:top w:val="single" w:sz="4" w:space="0" w:color="auto"/>
              <w:bottom w:val="single" w:sz="4" w:space="0" w:color="auto"/>
            </w:tcBorders>
            <w:shd w:val="clear" w:color="auto" w:fill="auto"/>
          </w:tcPr>
          <w:p w:rsidR="00AC1ABC" w:rsidRPr="002617F5" w:rsidRDefault="00AC1ABC" w:rsidP="003201D7">
            <w:pPr>
              <w:jc w:val="both"/>
              <w:rPr>
                <w:sz w:val="20"/>
                <w:szCs w:val="20"/>
              </w:rPr>
            </w:pPr>
            <w:r w:rsidRPr="002617F5">
              <w:rPr>
                <w:sz w:val="20"/>
                <w:szCs w:val="20"/>
              </w:rPr>
              <w:t>Public Private</w:t>
            </w:r>
          </w:p>
        </w:tc>
        <w:tc>
          <w:tcPr>
            <w:tcW w:w="1231" w:type="dxa"/>
            <w:tcBorders>
              <w:top w:val="single" w:sz="4" w:space="0" w:color="auto"/>
              <w:bottom w:val="single" w:sz="4" w:space="0" w:color="auto"/>
            </w:tcBorders>
            <w:shd w:val="clear" w:color="auto" w:fill="auto"/>
          </w:tcPr>
          <w:p w:rsidR="00AC1ABC" w:rsidRPr="002617F5" w:rsidRDefault="00AC1ABC" w:rsidP="003201D7">
            <w:pPr>
              <w:jc w:val="center"/>
              <w:rPr>
                <w:sz w:val="20"/>
                <w:szCs w:val="20"/>
              </w:rPr>
            </w:pPr>
            <w:r w:rsidRPr="002617F5">
              <w:rPr>
                <w:sz w:val="20"/>
                <w:szCs w:val="20"/>
              </w:rPr>
              <w:t>53</w:t>
            </w:r>
          </w:p>
          <w:p w:rsidR="00AC1ABC" w:rsidRPr="002617F5" w:rsidRDefault="00AC1ABC" w:rsidP="003201D7">
            <w:pPr>
              <w:jc w:val="center"/>
              <w:rPr>
                <w:sz w:val="20"/>
                <w:szCs w:val="20"/>
              </w:rPr>
            </w:pPr>
            <w:r w:rsidRPr="002617F5">
              <w:rPr>
                <w:sz w:val="20"/>
                <w:szCs w:val="20"/>
              </w:rPr>
              <w:t>50</w:t>
            </w:r>
          </w:p>
        </w:tc>
        <w:tc>
          <w:tcPr>
            <w:tcW w:w="1437" w:type="dxa"/>
            <w:tcBorders>
              <w:top w:val="single" w:sz="4" w:space="0" w:color="auto"/>
              <w:bottom w:val="single" w:sz="4" w:space="0" w:color="auto"/>
            </w:tcBorders>
            <w:shd w:val="clear" w:color="auto" w:fill="auto"/>
          </w:tcPr>
          <w:p w:rsidR="00AC1ABC" w:rsidRPr="002617F5" w:rsidRDefault="00AC1ABC" w:rsidP="003201D7">
            <w:pPr>
              <w:jc w:val="center"/>
              <w:rPr>
                <w:sz w:val="20"/>
                <w:szCs w:val="20"/>
              </w:rPr>
            </w:pPr>
            <w:r w:rsidRPr="002617F5">
              <w:rPr>
                <w:sz w:val="20"/>
                <w:szCs w:val="20"/>
              </w:rPr>
              <w:t>3</w:t>
            </w:r>
          </w:p>
          <w:p w:rsidR="00AC1ABC" w:rsidRPr="002617F5" w:rsidRDefault="00AC1ABC" w:rsidP="003201D7">
            <w:pPr>
              <w:jc w:val="center"/>
              <w:rPr>
                <w:sz w:val="20"/>
                <w:szCs w:val="20"/>
              </w:rPr>
            </w:pPr>
            <w:r w:rsidRPr="002617F5">
              <w:rPr>
                <w:sz w:val="20"/>
                <w:szCs w:val="20"/>
              </w:rPr>
              <w:t>0</w:t>
            </w:r>
          </w:p>
        </w:tc>
        <w:tc>
          <w:tcPr>
            <w:tcW w:w="1495" w:type="dxa"/>
            <w:tcBorders>
              <w:top w:val="single" w:sz="4" w:space="0" w:color="auto"/>
              <w:bottom w:val="single" w:sz="4" w:space="0" w:color="auto"/>
            </w:tcBorders>
            <w:shd w:val="clear" w:color="auto" w:fill="auto"/>
          </w:tcPr>
          <w:p w:rsidR="00AC1ABC" w:rsidRPr="002617F5" w:rsidRDefault="00AC1ABC" w:rsidP="003201D7">
            <w:pPr>
              <w:jc w:val="center"/>
              <w:rPr>
                <w:sz w:val="20"/>
                <w:szCs w:val="20"/>
              </w:rPr>
            </w:pPr>
            <w:r w:rsidRPr="002617F5">
              <w:rPr>
                <w:sz w:val="20"/>
                <w:szCs w:val="20"/>
              </w:rPr>
              <w:t>23</w:t>
            </w:r>
          </w:p>
          <w:p w:rsidR="00AC1ABC" w:rsidRPr="002617F5" w:rsidRDefault="00AC1ABC" w:rsidP="003201D7">
            <w:pPr>
              <w:jc w:val="center"/>
              <w:rPr>
                <w:sz w:val="20"/>
                <w:szCs w:val="20"/>
              </w:rPr>
            </w:pPr>
            <w:r w:rsidRPr="002617F5">
              <w:rPr>
                <w:sz w:val="20"/>
                <w:szCs w:val="20"/>
              </w:rPr>
              <w:t>10</w:t>
            </w:r>
          </w:p>
        </w:tc>
        <w:tc>
          <w:tcPr>
            <w:tcW w:w="1237" w:type="dxa"/>
            <w:tcBorders>
              <w:top w:val="single" w:sz="4" w:space="0" w:color="auto"/>
              <w:bottom w:val="single" w:sz="4" w:space="0" w:color="auto"/>
            </w:tcBorders>
            <w:shd w:val="clear" w:color="auto" w:fill="auto"/>
          </w:tcPr>
          <w:p w:rsidR="00AC1ABC" w:rsidRPr="002617F5" w:rsidRDefault="00AC1ABC" w:rsidP="003201D7">
            <w:pPr>
              <w:jc w:val="center"/>
              <w:rPr>
                <w:sz w:val="20"/>
                <w:szCs w:val="20"/>
              </w:rPr>
            </w:pPr>
            <w:r w:rsidRPr="002617F5">
              <w:rPr>
                <w:sz w:val="20"/>
                <w:szCs w:val="20"/>
              </w:rPr>
              <w:t>7</w:t>
            </w:r>
          </w:p>
          <w:p w:rsidR="00AC1ABC" w:rsidRPr="002617F5" w:rsidRDefault="00AC1ABC" w:rsidP="003201D7">
            <w:pPr>
              <w:jc w:val="center"/>
              <w:rPr>
                <w:sz w:val="20"/>
                <w:szCs w:val="20"/>
              </w:rPr>
            </w:pPr>
            <w:r w:rsidRPr="002617F5">
              <w:rPr>
                <w:sz w:val="20"/>
                <w:szCs w:val="20"/>
              </w:rPr>
              <w:t>5</w:t>
            </w:r>
          </w:p>
        </w:tc>
        <w:tc>
          <w:tcPr>
            <w:tcW w:w="1049" w:type="dxa"/>
            <w:tcBorders>
              <w:top w:val="single" w:sz="4" w:space="0" w:color="auto"/>
              <w:bottom w:val="single" w:sz="4" w:space="0" w:color="auto"/>
            </w:tcBorders>
            <w:shd w:val="clear" w:color="auto" w:fill="auto"/>
          </w:tcPr>
          <w:p w:rsidR="00AC1ABC" w:rsidRPr="002617F5" w:rsidRDefault="00AC1ABC" w:rsidP="003201D7">
            <w:pPr>
              <w:jc w:val="center"/>
              <w:rPr>
                <w:sz w:val="20"/>
                <w:szCs w:val="20"/>
              </w:rPr>
            </w:pPr>
            <w:r w:rsidRPr="002617F5">
              <w:rPr>
                <w:sz w:val="20"/>
                <w:szCs w:val="20"/>
              </w:rPr>
              <w:t>86</w:t>
            </w:r>
          </w:p>
          <w:p w:rsidR="00AC1ABC" w:rsidRPr="002617F5" w:rsidRDefault="00AC1ABC" w:rsidP="003201D7">
            <w:pPr>
              <w:jc w:val="center"/>
              <w:rPr>
                <w:sz w:val="20"/>
                <w:szCs w:val="20"/>
              </w:rPr>
            </w:pPr>
            <w:r w:rsidRPr="002617F5">
              <w:rPr>
                <w:sz w:val="20"/>
                <w:szCs w:val="20"/>
              </w:rPr>
              <w:t>65</w:t>
            </w:r>
          </w:p>
        </w:tc>
      </w:tr>
      <w:tr w:rsidR="00AC1ABC" w:rsidRPr="002617F5" w:rsidTr="00EA7585">
        <w:trPr>
          <w:trHeight w:val="260"/>
          <w:jc w:val="center"/>
        </w:trPr>
        <w:tc>
          <w:tcPr>
            <w:tcW w:w="1701" w:type="dxa"/>
            <w:tcBorders>
              <w:top w:val="single" w:sz="4" w:space="0" w:color="auto"/>
              <w:bottom w:val="single" w:sz="4" w:space="0" w:color="auto"/>
            </w:tcBorders>
            <w:shd w:val="clear" w:color="auto" w:fill="auto"/>
            <w:vAlign w:val="center"/>
          </w:tcPr>
          <w:p w:rsidR="00AC1ABC" w:rsidRPr="002617F5" w:rsidRDefault="00AC1ABC" w:rsidP="00EA7585">
            <w:pPr>
              <w:jc w:val="center"/>
              <w:rPr>
                <w:b/>
                <w:bCs/>
                <w:color w:val="000000" w:themeColor="text1"/>
                <w:sz w:val="20"/>
                <w:szCs w:val="20"/>
              </w:rPr>
            </w:pPr>
            <w:r w:rsidRPr="002617F5">
              <w:rPr>
                <w:b/>
                <w:bCs/>
                <w:color w:val="000000" w:themeColor="text1"/>
                <w:sz w:val="20"/>
                <w:szCs w:val="20"/>
              </w:rPr>
              <w:t>Total</w:t>
            </w:r>
          </w:p>
        </w:tc>
        <w:tc>
          <w:tcPr>
            <w:tcW w:w="972" w:type="dxa"/>
            <w:tcBorders>
              <w:top w:val="single" w:sz="4" w:space="0" w:color="auto"/>
              <w:bottom w:val="single" w:sz="4" w:space="0" w:color="auto"/>
            </w:tcBorders>
            <w:shd w:val="clear" w:color="auto" w:fill="auto"/>
            <w:vAlign w:val="center"/>
          </w:tcPr>
          <w:p w:rsidR="00AC1ABC" w:rsidRPr="002617F5" w:rsidRDefault="00AC1ABC" w:rsidP="00EA7585">
            <w:pPr>
              <w:jc w:val="center"/>
              <w:rPr>
                <w:b/>
                <w:bCs/>
                <w:color w:val="000000" w:themeColor="text1"/>
                <w:sz w:val="20"/>
                <w:szCs w:val="20"/>
              </w:rPr>
            </w:pPr>
          </w:p>
        </w:tc>
        <w:tc>
          <w:tcPr>
            <w:tcW w:w="1231" w:type="dxa"/>
            <w:tcBorders>
              <w:top w:val="single" w:sz="4" w:space="0" w:color="auto"/>
              <w:bottom w:val="single" w:sz="4" w:space="0" w:color="auto"/>
            </w:tcBorders>
            <w:shd w:val="clear" w:color="auto" w:fill="auto"/>
            <w:vAlign w:val="center"/>
          </w:tcPr>
          <w:p w:rsidR="00AC1ABC" w:rsidRPr="002617F5" w:rsidRDefault="00AC1ABC" w:rsidP="00EA7585">
            <w:pPr>
              <w:jc w:val="center"/>
              <w:rPr>
                <w:b/>
                <w:bCs/>
                <w:color w:val="000000" w:themeColor="text1"/>
                <w:sz w:val="20"/>
                <w:szCs w:val="20"/>
              </w:rPr>
            </w:pPr>
            <w:r w:rsidRPr="002617F5">
              <w:rPr>
                <w:b/>
                <w:bCs/>
                <w:color w:val="000000" w:themeColor="text1"/>
                <w:sz w:val="20"/>
                <w:szCs w:val="20"/>
              </w:rPr>
              <w:t>103</w:t>
            </w:r>
          </w:p>
        </w:tc>
        <w:tc>
          <w:tcPr>
            <w:tcW w:w="1437" w:type="dxa"/>
            <w:tcBorders>
              <w:top w:val="single" w:sz="4" w:space="0" w:color="auto"/>
              <w:bottom w:val="single" w:sz="4" w:space="0" w:color="auto"/>
            </w:tcBorders>
            <w:shd w:val="clear" w:color="auto" w:fill="auto"/>
            <w:vAlign w:val="center"/>
          </w:tcPr>
          <w:p w:rsidR="00AC1ABC" w:rsidRPr="002617F5" w:rsidRDefault="00AC1ABC" w:rsidP="00EA7585">
            <w:pPr>
              <w:jc w:val="center"/>
              <w:rPr>
                <w:b/>
                <w:bCs/>
                <w:color w:val="000000" w:themeColor="text1"/>
                <w:sz w:val="20"/>
                <w:szCs w:val="20"/>
              </w:rPr>
            </w:pPr>
            <w:r w:rsidRPr="002617F5">
              <w:rPr>
                <w:b/>
                <w:bCs/>
                <w:color w:val="000000" w:themeColor="text1"/>
                <w:sz w:val="20"/>
                <w:szCs w:val="20"/>
              </w:rPr>
              <w:t>3</w:t>
            </w:r>
          </w:p>
        </w:tc>
        <w:tc>
          <w:tcPr>
            <w:tcW w:w="1495" w:type="dxa"/>
            <w:tcBorders>
              <w:top w:val="single" w:sz="4" w:space="0" w:color="auto"/>
              <w:bottom w:val="single" w:sz="4" w:space="0" w:color="auto"/>
            </w:tcBorders>
            <w:shd w:val="clear" w:color="auto" w:fill="auto"/>
            <w:vAlign w:val="center"/>
          </w:tcPr>
          <w:p w:rsidR="00AC1ABC" w:rsidRPr="002617F5" w:rsidRDefault="00AC1ABC" w:rsidP="00EA7585">
            <w:pPr>
              <w:jc w:val="center"/>
              <w:rPr>
                <w:b/>
                <w:bCs/>
                <w:color w:val="000000" w:themeColor="text1"/>
                <w:sz w:val="20"/>
                <w:szCs w:val="20"/>
              </w:rPr>
            </w:pPr>
            <w:r w:rsidRPr="002617F5">
              <w:rPr>
                <w:b/>
                <w:bCs/>
                <w:color w:val="000000" w:themeColor="text1"/>
                <w:sz w:val="20"/>
                <w:szCs w:val="20"/>
              </w:rPr>
              <w:t>33</w:t>
            </w:r>
          </w:p>
        </w:tc>
        <w:tc>
          <w:tcPr>
            <w:tcW w:w="1237" w:type="dxa"/>
            <w:tcBorders>
              <w:top w:val="single" w:sz="4" w:space="0" w:color="auto"/>
              <w:bottom w:val="single" w:sz="4" w:space="0" w:color="auto"/>
            </w:tcBorders>
            <w:shd w:val="clear" w:color="auto" w:fill="auto"/>
            <w:vAlign w:val="center"/>
          </w:tcPr>
          <w:p w:rsidR="00AC1ABC" w:rsidRPr="002617F5" w:rsidRDefault="00AC1ABC" w:rsidP="00EA7585">
            <w:pPr>
              <w:jc w:val="center"/>
              <w:rPr>
                <w:b/>
                <w:bCs/>
                <w:color w:val="000000" w:themeColor="text1"/>
                <w:sz w:val="20"/>
                <w:szCs w:val="20"/>
              </w:rPr>
            </w:pPr>
            <w:r w:rsidRPr="002617F5">
              <w:rPr>
                <w:b/>
                <w:bCs/>
                <w:color w:val="000000" w:themeColor="text1"/>
                <w:sz w:val="20"/>
                <w:szCs w:val="20"/>
              </w:rPr>
              <w:t>12</w:t>
            </w:r>
          </w:p>
        </w:tc>
        <w:tc>
          <w:tcPr>
            <w:tcW w:w="1049" w:type="dxa"/>
            <w:tcBorders>
              <w:top w:val="single" w:sz="4" w:space="0" w:color="auto"/>
              <w:bottom w:val="single" w:sz="4" w:space="0" w:color="auto"/>
            </w:tcBorders>
            <w:shd w:val="clear" w:color="auto" w:fill="auto"/>
            <w:vAlign w:val="center"/>
          </w:tcPr>
          <w:p w:rsidR="00AC1ABC" w:rsidRPr="002617F5" w:rsidRDefault="00AC1ABC" w:rsidP="00EA7585">
            <w:pPr>
              <w:jc w:val="center"/>
              <w:rPr>
                <w:b/>
                <w:bCs/>
                <w:color w:val="000000" w:themeColor="text1"/>
                <w:sz w:val="20"/>
                <w:szCs w:val="20"/>
              </w:rPr>
            </w:pPr>
            <w:r w:rsidRPr="002617F5">
              <w:rPr>
                <w:b/>
                <w:bCs/>
                <w:color w:val="000000" w:themeColor="text1"/>
                <w:sz w:val="20"/>
                <w:szCs w:val="20"/>
              </w:rPr>
              <w:t>151</w:t>
            </w:r>
          </w:p>
        </w:tc>
      </w:tr>
    </w:tbl>
    <w:p w:rsidR="00EA7585" w:rsidRPr="002617F5" w:rsidRDefault="00EA7585" w:rsidP="00AC1ABC">
      <w:pPr>
        <w:ind w:left="720" w:hanging="720"/>
        <w:jc w:val="both"/>
        <w:rPr>
          <w:sz w:val="20"/>
          <w:szCs w:val="20"/>
        </w:rPr>
      </w:pPr>
    </w:p>
    <w:p w:rsidR="00AC1ABC" w:rsidRPr="002617F5" w:rsidRDefault="00EA7585" w:rsidP="00AC1ABC">
      <w:pPr>
        <w:ind w:left="720" w:hanging="720"/>
        <w:jc w:val="both"/>
        <w:rPr>
          <w:i/>
          <w:sz w:val="20"/>
          <w:szCs w:val="20"/>
        </w:rPr>
      </w:pPr>
      <w:r w:rsidRPr="002617F5">
        <w:rPr>
          <w:sz w:val="20"/>
          <w:szCs w:val="20"/>
        </w:rPr>
        <w:tab/>
      </w:r>
      <w:r w:rsidR="00AC1ABC" w:rsidRPr="002617F5">
        <w:rPr>
          <w:i/>
          <w:sz w:val="20"/>
          <w:szCs w:val="20"/>
        </w:rPr>
        <w:t>* A general university has more than one Faculty</w:t>
      </w:r>
    </w:p>
    <w:p w:rsidR="00AC1ABC" w:rsidRPr="002617F5" w:rsidRDefault="006E2837" w:rsidP="001C5C20">
      <w:pPr>
        <w:ind w:left="720"/>
        <w:jc w:val="both"/>
        <w:rPr>
          <w:i/>
          <w:sz w:val="20"/>
          <w:szCs w:val="20"/>
        </w:rPr>
      </w:pPr>
      <w:r w:rsidRPr="002617F5">
        <w:rPr>
          <w:rStyle w:val="FootnoteReference"/>
          <w:i/>
          <w:sz w:val="20"/>
          <w:szCs w:val="20"/>
        </w:rPr>
        <w:footnoteRef/>
      </w:r>
      <w:r w:rsidRPr="002617F5">
        <w:rPr>
          <w:i/>
          <w:sz w:val="20"/>
          <w:szCs w:val="20"/>
        </w:rPr>
        <w:t>Data obtained from the Higher Education Commission website 2013.</w:t>
      </w:r>
    </w:p>
    <w:p w:rsidR="006E2837" w:rsidRPr="002617F5" w:rsidRDefault="006E2837" w:rsidP="001C5C20">
      <w:pPr>
        <w:ind w:left="720"/>
        <w:jc w:val="both"/>
      </w:pPr>
    </w:p>
    <w:p w:rsidR="003B65E0" w:rsidRPr="002617F5" w:rsidRDefault="00EA7585" w:rsidP="009428C5">
      <w:pPr>
        <w:ind w:left="720"/>
        <w:jc w:val="both"/>
      </w:pPr>
      <w:r w:rsidRPr="002617F5">
        <w:tab/>
      </w:r>
      <w:r w:rsidR="003B65E0" w:rsidRPr="002617F5">
        <w:t>Many concerns from the social perspective were cited by concerned quarters in this overall process. They were found during direct discourses with the HEC staff/leadership, statutory developments, administrative changes, voices forwarded by teaching/research fraternity, student groups and intelligentsia in general. A review and analys</w:t>
      </w:r>
      <w:r w:rsidR="00F57B91" w:rsidRPr="002617F5">
        <w:t>is of some important concerns is</w:t>
      </w:r>
      <w:r w:rsidR="003B65E0" w:rsidRPr="002617F5">
        <w:t xml:space="preserve"> the focus of this paper. </w:t>
      </w:r>
    </w:p>
    <w:p w:rsidR="003B65E0" w:rsidRPr="002617F5" w:rsidRDefault="003B65E0" w:rsidP="009428C5">
      <w:pPr>
        <w:ind w:left="720"/>
        <w:jc w:val="both"/>
      </w:pPr>
    </w:p>
    <w:p w:rsidR="00266C13" w:rsidRPr="002617F5" w:rsidRDefault="00266C13" w:rsidP="009428C5">
      <w:pPr>
        <w:ind w:left="720"/>
        <w:jc w:val="both"/>
      </w:pPr>
    </w:p>
    <w:p w:rsidR="00E57F27" w:rsidRPr="002617F5" w:rsidRDefault="00E57F27" w:rsidP="009428C5">
      <w:pPr>
        <w:ind w:left="720"/>
        <w:jc w:val="both"/>
      </w:pPr>
    </w:p>
    <w:p w:rsidR="00DD0570" w:rsidRPr="002617F5" w:rsidRDefault="00CA52C8" w:rsidP="009428C5">
      <w:pPr>
        <w:jc w:val="both"/>
        <w:rPr>
          <w:b/>
        </w:rPr>
      </w:pPr>
      <w:r w:rsidRPr="002617F5">
        <w:rPr>
          <w:b/>
        </w:rPr>
        <w:t xml:space="preserve">SOCIAL CONCERNS: REVIEW AND ANALYSIS </w:t>
      </w:r>
    </w:p>
    <w:p w:rsidR="00CA52C8" w:rsidRPr="002617F5" w:rsidRDefault="00CA52C8" w:rsidP="009428C5">
      <w:pPr>
        <w:jc w:val="both"/>
      </w:pPr>
    </w:p>
    <w:p w:rsidR="005C18CF" w:rsidRPr="002617F5" w:rsidRDefault="00CA52C8" w:rsidP="007352F2">
      <w:pPr>
        <w:spacing w:line="360" w:lineRule="auto"/>
        <w:jc w:val="both"/>
        <w:rPr>
          <w:b/>
        </w:rPr>
      </w:pPr>
      <w:r w:rsidRPr="002617F5">
        <w:rPr>
          <w:b/>
        </w:rPr>
        <w:t>Accessibility</w:t>
      </w:r>
    </w:p>
    <w:p w:rsidR="00D841ED" w:rsidRPr="002617F5" w:rsidRDefault="00EA7585" w:rsidP="00EA7585">
      <w:pPr>
        <w:pStyle w:val="BodyText"/>
      </w:pPr>
      <w:r w:rsidRPr="002617F5">
        <w:tab/>
      </w:r>
      <w:r w:rsidR="00CA52C8" w:rsidRPr="002617F5">
        <w:t xml:space="preserve">Despite the commendable efforts of HEC, a sizable ground has to be </w:t>
      </w:r>
      <w:r w:rsidR="00B1544F" w:rsidRPr="002617F5">
        <w:t xml:space="preserve">covered </w:t>
      </w:r>
      <w:r w:rsidR="00DB79D5" w:rsidRPr="002617F5">
        <w:t>to make up for the extra</w:t>
      </w:r>
      <w:r w:rsidR="00CA52C8" w:rsidRPr="002617F5">
        <w:t xml:space="preserve">ordinary deficiency </w:t>
      </w:r>
      <w:r w:rsidR="00B1544F" w:rsidRPr="002617F5">
        <w:t xml:space="preserve">regarding </w:t>
      </w:r>
      <w:r w:rsidR="00CA52C8" w:rsidRPr="002617F5">
        <w:t xml:space="preserve">access to higher education opportunities. </w:t>
      </w:r>
      <w:r w:rsidR="00D841ED" w:rsidRPr="002617F5">
        <w:t xml:space="preserve">Pakistan is a developing country with a very underdeveloped social sector. About </w:t>
      </w:r>
      <w:r w:rsidR="00B1544F" w:rsidRPr="002617F5">
        <w:t xml:space="preserve">42 </w:t>
      </w:r>
      <w:r w:rsidR="00D841ED" w:rsidRPr="002617F5">
        <w:t>percent population – as per official statistics – is literate. Access to higher education, according to safe estimates is below 2 percent. With the exception of few large cities, there is an acute shortage of trained per</w:t>
      </w:r>
      <w:r w:rsidR="00255F26" w:rsidRPr="002617F5">
        <w:t>sonnel to manage the most basic</w:t>
      </w:r>
      <w:r w:rsidR="00D841ED" w:rsidRPr="002617F5">
        <w:t xml:space="preserve"> of functions. The other aspect of importance is the overall income level in the country. More than 40 percent of population is infested with abject poverty. Access to basic amenities of human survival is extremely constrained. For many, even one decent meal per day is a remote possibility. Education is perhaps the only option available for social </w:t>
      </w:r>
      <w:r w:rsidR="002617F5">
        <w:t>mobility</w:t>
      </w:r>
      <w:r w:rsidR="00D841ED" w:rsidRPr="002617F5">
        <w:t xml:space="preserve">. If the education becomes a saleable commodity like </w:t>
      </w:r>
      <w:r w:rsidR="007D72BF" w:rsidRPr="002617F5">
        <w:t>most of the other essentials</w:t>
      </w:r>
      <w:r w:rsidR="00D841ED" w:rsidRPr="002617F5">
        <w:t xml:space="preserve"> of life, then the probability of this lowest lot to improve its destiny will reduce to an absolute minimum</w:t>
      </w:r>
      <w:r w:rsidR="00B1544F" w:rsidRPr="002617F5">
        <w:t xml:space="preserve"> (Ahmed, 2002a).</w:t>
      </w:r>
    </w:p>
    <w:p w:rsidR="00D841ED" w:rsidRPr="002617F5" w:rsidRDefault="00D841ED" w:rsidP="009428C5">
      <w:pPr>
        <w:pStyle w:val="BodyText"/>
      </w:pPr>
    </w:p>
    <w:p w:rsidR="00D841ED" w:rsidRPr="002617F5" w:rsidRDefault="00EA7585" w:rsidP="00EA7585">
      <w:pPr>
        <w:pStyle w:val="BodyText"/>
      </w:pPr>
      <w:r w:rsidRPr="002617F5">
        <w:tab/>
      </w:r>
      <w:r w:rsidR="00D841ED" w:rsidRPr="002617F5">
        <w:t>Every nation-state decides about provision of services to its citizens on the basis of priorities drawn by its own local conditions. Even when a question of tough choices comes up, the benefit to the society as a whole remains the supreme consideration. Such a tough question is now confronting the Pakistani nation. It is now up to the decision makers and the society as a whole to decide whether they wish to uphold the universal access of meaningful education to ALL in line with the national need or they intend to join the donor’s pet club by submitting themselves to the ruthless doctrines of the so called market economy.</w:t>
      </w:r>
      <w:r w:rsidR="000674F9" w:rsidRPr="002617F5">
        <w:t xml:space="preserve"> Consolidating</w:t>
      </w:r>
      <w:r w:rsidR="00FA03AF" w:rsidRPr="002617F5">
        <w:t xml:space="preserve"> the capacity of public universities all across the country is the appropriate strategy that needs to be adopted with consistent effort. </w:t>
      </w:r>
    </w:p>
    <w:p w:rsidR="00CA52C8" w:rsidRPr="002617F5" w:rsidRDefault="00CA52C8" w:rsidP="009428C5">
      <w:pPr>
        <w:ind w:left="720" w:hanging="720"/>
        <w:jc w:val="both"/>
      </w:pPr>
    </w:p>
    <w:p w:rsidR="00E57F27" w:rsidRPr="002617F5" w:rsidRDefault="00E57F27" w:rsidP="009428C5">
      <w:pPr>
        <w:ind w:left="720" w:hanging="720"/>
        <w:jc w:val="both"/>
      </w:pPr>
    </w:p>
    <w:p w:rsidR="00E57F27" w:rsidRPr="002617F5" w:rsidRDefault="00E57F27" w:rsidP="009428C5">
      <w:pPr>
        <w:ind w:left="720" w:hanging="720"/>
        <w:jc w:val="both"/>
      </w:pPr>
    </w:p>
    <w:p w:rsidR="005C18CF" w:rsidRPr="002617F5" w:rsidRDefault="005144D8" w:rsidP="007352F2">
      <w:pPr>
        <w:spacing w:line="360" w:lineRule="auto"/>
        <w:ind w:left="720" w:hanging="720"/>
        <w:jc w:val="both"/>
        <w:rPr>
          <w:b/>
        </w:rPr>
      </w:pPr>
      <w:r w:rsidRPr="002617F5">
        <w:rPr>
          <w:b/>
        </w:rPr>
        <w:lastRenderedPageBreak/>
        <w:t xml:space="preserve">Relationship with Elementary and Higher Secondary Education </w:t>
      </w:r>
    </w:p>
    <w:p w:rsidR="00D841ED" w:rsidRPr="002617F5" w:rsidRDefault="00EA7585" w:rsidP="00EA7585">
      <w:pPr>
        <w:pStyle w:val="BodyText"/>
      </w:pPr>
      <w:r w:rsidRPr="002617F5">
        <w:tab/>
      </w:r>
      <w:r w:rsidR="0050215B" w:rsidRPr="002617F5">
        <w:t>It is common sense that improvement in higher education cannot be achieved</w:t>
      </w:r>
      <w:r w:rsidRPr="002617F5">
        <w:t xml:space="preserve"> without corresponding input in </w:t>
      </w:r>
      <w:r w:rsidR="0050215B" w:rsidRPr="002617F5">
        <w:t xml:space="preserve">elementary and higher secondary education. Although this domain was beyond the scope of HEC, it had a sizable bearing on the efforts. </w:t>
      </w:r>
      <w:r w:rsidR="00D841ED" w:rsidRPr="002617F5">
        <w:t xml:space="preserve">In Pakistan, there is a multitude of different type of educational systems that are practiced. It will be useful to discuss the dominant of them. The most conventional and largely prevalent is the normal schooling system leading to Secondary School Certificate (SSC) earned after ten grades of schooling. This makes the basis of Higher Secondary School Certificate after completion of studies at a high school (college) where two years of study are undertaken after SSC. This constitutes the basic eligibility for admission to a university. </w:t>
      </w:r>
      <w:r w:rsidR="007552F3" w:rsidRPr="002617F5">
        <w:t>Chances of getting admission in a discipline of choice depend</w:t>
      </w:r>
      <w:r w:rsidR="00D841ED" w:rsidRPr="002617F5">
        <w:t xml:space="preserve"> upon the performance in the HSC. Other main systems of education prevalent in the country include the </w:t>
      </w:r>
      <w:r w:rsidR="00D841ED" w:rsidRPr="002617F5">
        <w:rPr>
          <w:i/>
          <w:iCs/>
        </w:rPr>
        <w:t>Madrassahs</w:t>
      </w:r>
      <w:r w:rsidR="00D841ED" w:rsidRPr="002617F5">
        <w:t xml:space="preserve"> leading to various scales of theological qualifications and GCE Examinations conducted by the University of Cambridge System for </w:t>
      </w:r>
      <w:r w:rsidR="00D12907" w:rsidRPr="002617F5">
        <w:t>‘</w:t>
      </w:r>
      <w:r w:rsidR="00D841ED" w:rsidRPr="002617F5">
        <w:t>O</w:t>
      </w:r>
      <w:r w:rsidR="00D12907" w:rsidRPr="002617F5">
        <w:t>’</w:t>
      </w:r>
      <w:r w:rsidR="00D841ED" w:rsidRPr="002617F5">
        <w:t xml:space="preserve"> levels and </w:t>
      </w:r>
      <w:r w:rsidR="00D12907" w:rsidRPr="002617F5">
        <w:t>‘</w:t>
      </w:r>
      <w:r w:rsidR="00D841ED" w:rsidRPr="002617F5">
        <w:t>A</w:t>
      </w:r>
      <w:r w:rsidR="00D12907" w:rsidRPr="002617F5">
        <w:t>’</w:t>
      </w:r>
      <w:r w:rsidR="00D841ED" w:rsidRPr="002617F5">
        <w:t xml:space="preserve"> levels with a cumulative thirteen years of schooling. The students pursuing GCE either aim to go abroad for university education or seek an equivalence to enter the local universities acc</w:t>
      </w:r>
      <w:r w:rsidR="00D12907" w:rsidRPr="002617F5">
        <w:t xml:space="preserve">ording to prescribed procedures (Ahmed, 2002b). </w:t>
      </w:r>
    </w:p>
    <w:p w:rsidR="00D841ED" w:rsidRPr="002617F5" w:rsidRDefault="00D841ED" w:rsidP="009428C5">
      <w:pPr>
        <w:pStyle w:val="BodyText"/>
      </w:pPr>
    </w:p>
    <w:p w:rsidR="00D841ED" w:rsidRPr="002617F5" w:rsidRDefault="00EA7585" w:rsidP="00EA7585">
      <w:pPr>
        <w:pStyle w:val="BodyText"/>
      </w:pPr>
      <w:r w:rsidRPr="002617F5">
        <w:tab/>
      </w:r>
      <w:r w:rsidR="00D841ED" w:rsidRPr="002617F5">
        <w:t>There has been considerable decline in the standards of education in the schools and high schools. It is due to several reasons. Curriculum in the 9</w:t>
      </w:r>
      <w:r w:rsidR="00D841ED" w:rsidRPr="002617F5">
        <w:rPr>
          <w:vertAlign w:val="superscript"/>
        </w:rPr>
        <w:t>th</w:t>
      </w:r>
      <w:r w:rsidR="00D841ED" w:rsidRPr="002617F5">
        <w:t xml:space="preserve"> and 10</w:t>
      </w:r>
      <w:r w:rsidR="00D841ED" w:rsidRPr="002617F5">
        <w:rPr>
          <w:vertAlign w:val="superscript"/>
        </w:rPr>
        <w:t>th</w:t>
      </w:r>
      <w:r w:rsidR="00D841ED" w:rsidRPr="002617F5">
        <w:t xml:space="preserve"> grade prescribed by the Boards of Secondary Education is considered as too weak and often in contrast to the relatively better education received by good private school students. On the contrary, in government schools due to shortage of teachers, over populous class rooms, lack of academic discipline and absence of academic infrastructure, inferior curricula are followed in the junior classes that makes the SSC examination tough for the students. Language also becomes an issue though the students, in most Boards now have the flexibility to attempt all the courses – except English – in Urdu according to choice or the availability of such facilities. This creates a divide right in the beginning between English medium and Urdu medium students. Only exceptions are able to break the barriers in their careers. Rise in tuition centres, dependence on typical solved and unsolved examination papers, memorization as a sole test of comprehension and knowledge, </w:t>
      </w:r>
      <w:r w:rsidR="00257204" w:rsidRPr="002617F5">
        <w:t xml:space="preserve">incomplete </w:t>
      </w:r>
      <w:r w:rsidR="00D841ED" w:rsidRPr="002617F5">
        <w:t xml:space="preserve">coverage of full curriculum in the classes, absence of adequate teachers training facilities, ridiculously low salaries of primary and secondary school teachers are only a few issues that make the pre-university education worthy of a massive but well thought out reform. </w:t>
      </w:r>
    </w:p>
    <w:p w:rsidR="007352F2" w:rsidRPr="002617F5" w:rsidRDefault="007352F2" w:rsidP="009428C5">
      <w:pPr>
        <w:ind w:left="720" w:hanging="720"/>
        <w:jc w:val="both"/>
        <w:rPr>
          <w:b/>
        </w:rPr>
      </w:pPr>
    </w:p>
    <w:p w:rsidR="005C18CF" w:rsidRPr="002617F5" w:rsidRDefault="00265E61" w:rsidP="007352F2">
      <w:pPr>
        <w:spacing w:line="360" w:lineRule="auto"/>
        <w:ind w:left="720" w:hanging="720"/>
        <w:jc w:val="both"/>
        <w:rPr>
          <w:b/>
        </w:rPr>
      </w:pPr>
      <w:r w:rsidRPr="002617F5">
        <w:rPr>
          <w:b/>
        </w:rPr>
        <w:t>A</w:t>
      </w:r>
      <w:r w:rsidR="007A45E7" w:rsidRPr="002617F5">
        <w:rPr>
          <w:b/>
        </w:rPr>
        <w:t xml:space="preserve">cademic </w:t>
      </w:r>
      <w:r w:rsidR="005144D8" w:rsidRPr="002617F5">
        <w:rPr>
          <w:b/>
        </w:rPr>
        <w:t>Governance</w:t>
      </w:r>
      <w:r w:rsidR="007A45E7" w:rsidRPr="002617F5">
        <w:rPr>
          <w:b/>
        </w:rPr>
        <w:t xml:space="preserve"> and Social Relevance</w:t>
      </w:r>
    </w:p>
    <w:p w:rsidR="00D841ED" w:rsidRPr="002617F5" w:rsidRDefault="007A45E7" w:rsidP="00E57F27">
      <w:pPr>
        <w:pStyle w:val="BodyText"/>
      </w:pPr>
      <w:r w:rsidRPr="002617F5">
        <w:t xml:space="preserve">As per standing statues, </w:t>
      </w:r>
      <w:r w:rsidR="005144D8" w:rsidRPr="002617F5">
        <w:t xml:space="preserve">the University administrations are autonomous entities as per law. At different levels of routine functioning, participation from the society ensures representation of public concerns in the policy making prerogatives. </w:t>
      </w:r>
      <w:r w:rsidR="00D841ED" w:rsidRPr="002617F5">
        <w:t>Public sector universities function according to the laws promulgated for their existence and working. The laws lay down the clear mandate, academic structure, nature and extent of operation as well as jurisdictional framework. From the functioning of a teaching department to the university, an overall administrative and academic skeleton is normally prescribed. Boards of Studies, Faculties and Research Bodies, Academic Councils, Finance and Planning Committees, University Development Working Parties, Syndicates and Senates are the normally constituted organs to run the routine affairs of the university (see Figure-1). Almost all the bodies are managed either entirely or with a majority of university professors and staff/officers. Only the Vice-Chancellor is appointed by the Governor of the respective province who is also the Chancellor of public sector universities</w:t>
      </w:r>
      <w:r w:rsidR="00257204" w:rsidRPr="002617F5">
        <w:t xml:space="preserve"> on the recommendation of search committees</w:t>
      </w:r>
      <w:r w:rsidR="00D841ED" w:rsidRPr="002617F5">
        <w:t xml:space="preserve">. As the chief executive, Vice-Chancellor is an </w:t>
      </w:r>
      <w:r w:rsidR="00E57F27" w:rsidRPr="002617F5">
        <w:t>all-powerful</w:t>
      </w:r>
      <w:r w:rsidR="00D841ED" w:rsidRPr="002617F5">
        <w:t xml:space="preserve"> officer capable of running the university without interference. Even the </w:t>
      </w:r>
      <w:r w:rsidR="005F114B" w:rsidRPr="002617F5">
        <w:t xml:space="preserve">Provincial </w:t>
      </w:r>
      <w:r w:rsidR="00E57F27" w:rsidRPr="002617F5">
        <w:t xml:space="preserve">Governor </w:t>
      </w:r>
      <w:r w:rsidR="00D841ED" w:rsidRPr="002617F5">
        <w:t>can not directly exercise any operating powers – the only dire action he can take is to sack the Vice-</w:t>
      </w:r>
      <w:r w:rsidR="00D841ED" w:rsidRPr="002617F5">
        <w:lastRenderedPageBreak/>
        <w:t xml:space="preserve">Chancellor and appoint a new one. Although normally the Vice-Chancellor used to be a senior professor of the university, </w:t>
      </w:r>
      <w:r w:rsidR="00E57F27" w:rsidRPr="002617F5">
        <w:t>practicing</w:t>
      </w:r>
      <w:r w:rsidR="00D841ED" w:rsidRPr="002617F5">
        <w:t xml:space="preserve"> professionals, civil servants and even retired/serving military personnel have also been appointed to this most important position of the universities. This approach has generated mixed results. Universities where a competent and forthright individual has been posted as Vice-Chancellor</w:t>
      </w:r>
      <w:r w:rsidR="005F114B" w:rsidRPr="002617F5">
        <w:t xml:space="preserve"> have shown remarkable progress (Ahmed, 2002a; Haq and Ahmed, 2006). </w:t>
      </w:r>
    </w:p>
    <w:p w:rsidR="00D841ED" w:rsidRPr="002617F5" w:rsidRDefault="00D841ED" w:rsidP="009428C5">
      <w:pPr>
        <w:pStyle w:val="BodyText"/>
      </w:pPr>
    </w:p>
    <w:p w:rsidR="00D841ED" w:rsidRPr="002617F5" w:rsidRDefault="007352F2" w:rsidP="007352F2">
      <w:pPr>
        <w:jc w:val="both"/>
      </w:pPr>
      <w:r w:rsidRPr="002617F5">
        <w:tab/>
      </w:r>
      <w:r w:rsidR="00D841ED" w:rsidRPr="002617F5">
        <w:t>Two key questio</w:t>
      </w:r>
      <w:r w:rsidR="001E3F37" w:rsidRPr="002617F5">
        <w:t>ns emerge from this debate. One</w:t>
      </w:r>
      <w:r w:rsidR="00D841ED" w:rsidRPr="002617F5">
        <w:t xml:space="preserve"> is the administrative arrangement of the universities entirely responsible for the cited factors of academic decline. And two, is the total re-structuring of Senate/Syndicate the only appropriate solution to improve the public sector universities. The flat answer to both the questions is in negative. While a detailed scientific study into this state of affairs is direly needed, some of the arguments that justify this standpoint are outlined below. </w:t>
      </w:r>
    </w:p>
    <w:p w:rsidR="00D841ED" w:rsidRPr="002617F5" w:rsidRDefault="00D841ED" w:rsidP="009428C5">
      <w:pPr>
        <w:pStyle w:val="BodyText"/>
      </w:pPr>
    </w:p>
    <w:p w:rsidR="00D841ED" w:rsidRPr="002617F5" w:rsidRDefault="0017194D" w:rsidP="00E57F27">
      <w:pPr>
        <w:pStyle w:val="BodyText"/>
        <w:spacing w:line="360" w:lineRule="auto"/>
        <w:jc w:val="left"/>
        <w:rPr>
          <w:b/>
          <w:bCs/>
          <w:sz w:val="20"/>
          <w:szCs w:val="20"/>
        </w:rPr>
      </w:pPr>
      <w:r w:rsidRPr="002617F5">
        <w:rPr>
          <w:b/>
          <w:bCs/>
          <w:sz w:val="20"/>
          <w:szCs w:val="20"/>
        </w:rPr>
        <w:t>FIGURE1</w:t>
      </w:r>
      <w:r w:rsidR="007352F2" w:rsidRPr="002617F5">
        <w:rPr>
          <w:b/>
          <w:bCs/>
          <w:sz w:val="20"/>
          <w:szCs w:val="20"/>
        </w:rPr>
        <w:t xml:space="preserve">: </w:t>
      </w:r>
      <w:r w:rsidRPr="002617F5">
        <w:rPr>
          <w:b/>
          <w:bCs/>
          <w:sz w:val="20"/>
          <w:szCs w:val="20"/>
        </w:rPr>
        <w:t xml:space="preserve">EXISTING FRAMEWORK OF UNIVERSITY MANAGEMENTIN THE PUBLIC SECTOR </w:t>
      </w:r>
    </w:p>
    <w:tbl>
      <w:tblPr>
        <w:tblW w:w="5000" w:type="pct"/>
        <w:tblLook w:val="0000"/>
      </w:tblPr>
      <w:tblGrid>
        <w:gridCol w:w="1047"/>
        <w:gridCol w:w="2852"/>
        <w:gridCol w:w="5776"/>
      </w:tblGrid>
      <w:tr w:rsidR="00D841ED" w:rsidRPr="002617F5" w:rsidTr="00266C13">
        <w:tc>
          <w:tcPr>
            <w:tcW w:w="541" w:type="pct"/>
            <w:tcBorders>
              <w:top w:val="single" w:sz="4" w:space="0" w:color="auto"/>
              <w:bottom w:val="single" w:sz="4" w:space="0" w:color="auto"/>
            </w:tcBorders>
            <w:shd w:val="clear" w:color="auto" w:fill="B3B3B3"/>
          </w:tcPr>
          <w:p w:rsidR="00D841ED" w:rsidRPr="002617F5" w:rsidRDefault="00D841ED" w:rsidP="004C493F">
            <w:pPr>
              <w:jc w:val="center"/>
              <w:rPr>
                <w:b/>
                <w:bCs/>
                <w:sz w:val="20"/>
                <w:szCs w:val="20"/>
              </w:rPr>
            </w:pPr>
            <w:r w:rsidRPr="002617F5">
              <w:rPr>
                <w:b/>
                <w:bCs/>
                <w:sz w:val="20"/>
                <w:szCs w:val="20"/>
              </w:rPr>
              <w:t>Body</w:t>
            </w:r>
          </w:p>
        </w:tc>
        <w:tc>
          <w:tcPr>
            <w:tcW w:w="1474" w:type="pct"/>
            <w:tcBorders>
              <w:top w:val="single" w:sz="4" w:space="0" w:color="auto"/>
              <w:bottom w:val="single" w:sz="4" w:space="0" w:color="auto"/>
            </w:tcBorders>
            <w:shd w:val="clear" w:color="auto" w:fill="B3B3B3"/>
          </w:tcPr>
          <w:p w:rsidR="00D841ED" w:rsidRPr="002617F5" w:rsidRDefault="00D841ED" w:rsidP="009428C5">
            <w:pPr>
              <w:jc w:val="center"/>
              <w:rPr>
                <w:b/>
                <w:bCs/>
                <w:sz w:val="20"/>
                <w:szCs w:val="20"/>
              </w:rPr>
            </w:pPr>
            <w:r w:rsidRPr="002617F5">
              <w:rPr>
                <w:b/>
                <w:bCs/>
                <w:sz w:val="20"/>
                <w:szCs w:val="20"/>
              </w:rPr>
              <w:t>Main Functions</w:t>
            </w:r>
          </w:p>
        </w:tc>
        <w:tc>
          <w:tcPr>
            <w:tcW w:w="2985" w:type="pct"/>
            <w:tcBorders>
              <w:top w:val="single" w:sz="4" w:space="0" w:color="auto"/>
              <w:bottom w:val="single" w:sz="4" w:space="0" w:color="auto"/>
            </w:tcBorders>
            <w:shd w:val="clear" w:color="auto" w:fill="B3B3B3"/>
          </w:tcPr>
          <w:p w:rsidR="00D841ED" w:rsidRPr="002617F5" w:rsidRDefault="00D841ED" w:rsidP="009428C5">
            <w:pPr>
              <w:jc w:val="center"/>
              <w:rPr>
                <w:b/>
                <w:bCs/>
                <w:sz w:val="20"/>
                <w:szCs w:val="20"/>
              </w:rPr>
            </w:pPr>
            <w:r w:rsidRPr="002617F5">
              <w:rPr>
                <w:b/>
                <w:bCs/>
                <w:sz w:val="20"/>
                <w:szCs w:val="20"/>
              </w:rPr>
              <w:t>Usual Composition</w:t>
            </w:r>
          </w:p>
        </w:tc>
      </w:tr>
      <w:tr w:rsidR="00D841ED" w:rsidRPr="002617F5" w:rsidTr="00266C13">
        <w:tc>
          <w:tcPr>
            <w:tcW w:w="541" w:type="pct"/>
            <w:tcBorders>
              <w:top w:val="single" w:sz="4" w:space="0" w:color="auto"/>
              <w:bottom w:val="single" w:sz="4" w:space="0" w:color="auto"/>
            </w:tcBorders>
            <w:vAlign w:val="center"/>
          </w:tcPr>
          <w:p w:rsidR="00D841ED" w:rsidRPr="002617F5" w:rsidRDefault="00D841ED" w:rsidP="007352F2">
            <w:pPr>
              <w:pStyle w:val="Header"/>
              <w:tabs>
                <w:tab w:val="clear" w:pos="4320"/>
                <w:tab w:val="clear" w:pos="8640"/>
              </w:tabs>
              <w:rPr>
                <w:sz w:val="20"/>
                <w:szCs w:val="20"/>
              </w:rPr>
            </w:pPr>
            <w:r w:rsidRPr="002617F5">
              <w:rPr>
                <w:sz w:val="20"/>
                <w:szCs w:val="20"/>
              </w:rPr>
              <w:t>Board of Studies</w:t>
            </w:r>
          </w:p>
        </w:tc>
        <w:tc>
          <w:tcPr>
            <w:tcW w:w="1474" w:type="pct"/>
            <w:tcBorders>
              <w:top w:val="single" w:sz="4" w:space="0" w:color="auto"/>
              <w:bottom w:val="single" w:sz="4" w:space="0" w:color="auto"/>
            </w:tcBorders>
            <w:vAlign w:val="center"/>
          </w:tcPr>
          <w:p w:rsidR="00D841ED" w:rsidRPr="002617F5" w:rsidRDefault="00D841ED" w:rsidP="007352F2">
            <w:pPr>
              <w:rPr>
                <w:sz w:val="20"/>
                <w:szCs w:val="20"/>
              </w:rPr>
            </w:pPr>
            <w:r w:rsidRPr="002617F5">
              <w:rPr>
                <w:sz w:val="20"/>
                <w:szCs w:val="20"/>
              </w:rPr>
              <w:t>Academic matters at the departmental level</w:t>
            </w:r>
          </w:p>
        </w:tc>
        <w:tc>
          <w:tcPr>
            <w:tcW w:w="2985" w:type="pct"/>
            <w:tcBorders>
              <w:top w:val="single" w:sz="4" w:space="0" w:color="auto"/>
              <w:bottom w:val="single" w:sz="4" w:space="0" w:color="auto"/>
            </w:tcBorders>
            <w:vAlign w:val="center"/>
          </w:tcPr>
          <w:p w:rsidR="00D841ED" w:rsidRPr="002617F5" w:rsidRDefault="00D841ED" w:rsidP="007352F2">
            <w:pPr>
              <w:numPr>
                <w:ilvl w:val="0"/>
                <w:numId w:val="3"/>
              </w:numPr>
              <w:rPr>
                <w:sz w:val="20"/>
                <w:szCs w:val="20"/>
              </w:rPr>
            </w:pPr>
            <w:r w:rsidRPr="002617F5">
              <w:rPr>
                <w:sz w:val="20"/>
                <w:szCs w:val="20"/>
              </w:rPr>
              <w:t>Senior teachers of the concerned department.</w:t>
            </w:r>
          </w:p>
          <w:p w:rsidR="00D841ED" w:rsidRPr="002617F5" w:rsidRDefault="00D841ED" w:rsidP="007352F2">
            <w:pPr>
              <w:numPr>
                <w:ilvl w:val="0"/>
                <w:numId w:val="3"/>
              </w:numPr>
              <w:rPr>
                <w:sz w:val="20"/>
                <w:szCs w:val="20"/>
              </w:rPr>
            </w:pPr>
            <w:r w:rsidRPr="002617F5">
              <w:rPr>
                <w:sz w:val="20"/>
                <w:szCs w:val="20"/>
              </w:rPr>
              <w:t>Eminent professionals of the concerned field.</w:t>
            </w:r>
          </w:p>
          <w:p w:rsidR="00D841ED" w:rsidRPr="002617F5" w:rsidRDefault="00D841ED" w:rsidP="007352F2">
            <w:pPr>
              <w:pStyle w:val="Heading1"/>
              <w:rPr>
                <w:sz w:val="20"/>
                <w:szCs w:val="20"/>
              </w:rPr>
            </w:pPr>
            <w:r w:rsidRPr="002617F5">
              <w:rPr>
                <w:sz w:val="20"/>
                <w:szCs w:val="20"/>
              </w:rPr>
              <w:t>Chaired by the Chairman of the Department</w:t>
            </w:r>
          </w:p>
        </w:tc>
      </w:tr>
      <w:tr w:rsidR="00D841ED" w:rsidRPr="002617F5" w:rsidTr="00266C13">
        <w:tc>
          <w:tcPr>
            <w:tcW w:w="541" w:type="pct"/>
            <w:tcBorders>
              <w:top w:val="single" w:sz="4" w:space="0" w:color="auto"/>
              <w:bottom w:val="single" w:sz="4" w:space="0" w:color="auto"/>
            </w:tcBorders>
            <w:vAlign w:val="center"/>
          </w:tcPr>
          <w:p w:rsidR="00D841ED" w:rsidRPr="002617F5" w:rsidRDefault="00D841ED" w:rsidP="007352F2">
            <w:pPr>
              <w:rPr>
                <w:sz w:val="20"/>
                <w:szCs w:val="20"/>
              </w:rPr>
            </w:pPr>
            <w:r w:rsidRPr="002617F5">
              <w:rPr>
                <w:sz w:val="20"/>
                <w:szCs w:val="20"/>
              </w:rPr>
              <w:t>Board of Faculty</w:t>
            </w:r>
          </w:p>
        </w:tc>
        <w:tc>
          <w:tcPr>
            <w:tcW w:w="1474" w:type="pct"/>
            <w:tcBorders>
              <w:top w:val="single" w:sz="4" w:space="0" w:color="auto"/>
              <w:bottom w:val="single" w:sz="4" w:space="0" w:color="auto"/>
            </w:tcBorders>
            <w:vAlign w:val="center"/>
          </w:tcPr>
          <w:p w:rsidR="00D841ED" w:rsidRPr="002617F5" w:rsidRDefault="00D841ED" w:rsidP="007352F2">
            <w:pPr>
              <w:rPr>
                <w:sz w:val="20"/>
                <w:szCs w:val="20"/>
              </w:rPr>
            </w:pPr>
            <w:r w:rsidRPr="002617F5">
              <w:rPr>
                <w:sz w:val="20"/>
                <w:szCs w:val="20"/>
              </w:rPr>
              <w:t>All academic matters at the faculty level</w:t>
            </w:r>
          </w:p>
        </w:tc>
        <w:tc>
          <w:tcPr>
            <w:tcW w:w="2985" w:type="pct"/>
            <w:tcBorders>
              <w:top w:val="single" w:sz="4" w:space="0" w:color="auto"/>
              <w:bottom w:val="single" w:sz="4" w:space="0" w:color="auto"/>
            </w:tcBorders>
            <w:vAlign w:val="center"/>
          </w:tcPr>
          <w:p w:rsidR="00D841ED" w:rsidRPr="002617F5" w:rsidRDefault="00D841ED" w:rsidP="007352F2">
            <w:pPr>
              <w:numPr>
                <w:ilvl w:val="0"/>
                <w:numId w:val="3"/>
              </w:numPr>
              <w:rPr>
                <w:sz w:val="20"/>
                <w:szCs w:val="20"/>
              </w:rPr>
            </w:pPr>
            <w:r w:rsidRPr="002617F5">
              <w:rPr>
                <w:sz w:val="20"/>
                <w:szCs w:val="20"/>
              </w:rPr>
              <w:t>Senior teachers of the concerned faculty.</w:t>
            </w:r>
          </w:p>
          <w:p w:rsidR="00D841ED" w:rsidRPr="002617F5" w:rsidRDefault="00D841ED" w:rsidP="007352F2">
            <w:pPr>
              <w:pStyle w:val="Heading1"/>
              <w:rPr>
                <w:sz w:val="20"/>
                <w:szCs w:val="20"/>
              </w:rPr>
            </w:pPr>
            <w:r w:rsidRPr="002617F5">
              <w:rPr>
                <w:sz w:val="20"/>
                <w:szCs w:val="20"/>
              </w:rPr>
              <w:t>Chaired by the Dean of the Faculty</w:t>
            </w:r>
          </w:p>
        </w:tc>
      </w:tr>
      <w:tr w:rsidR="00D841ED" w:rsidRPr="002617F5" w:rsidTr="00266C13">
        <w:tc>
          <w:tcPr>
            <w:tcW w:w="541" w:type="pct"/>
            <w:tcBorders>
              <w:top w:val="single" w:sz="4" w:space="0" w:color="auto"/>
              <w:bottom w:val="single" w:sz="4" w:space="0" w:color="auto"/>
            </w:tcBorders>
            <w:vAlign w:val="center"/>
          </w:tcPr>
          <w:p w:rsidR="00D841ED" w:rsidRPr="002617F5" w:rsidRDefault="00D841ED" w:rsidP="007352F2">
            <w:pPr>
              <w:rPr>
                <w:sz w:val="20"/>
                <w:szCs w:val="20"/>
              </w:rPr>
            </w:pPr>
            <w:r w:rsidRPr="002617F5">
              <w:rPr>
                <w:sz w:val="20"/>
                <w:szCs w:val="20"/>
              </w:rPr>
              <w:t>Academic Council</w:t>
            </w:r>
          </w:p>
        </w:tc>
        <w:tc>
          <w:tcPr>
            <w:tcW w:w="1474" w:type="pct"/>
            <w:tcBorders>
              <w:top w:val="single" w:sz="4" w:space="0" w:color="auto"/>
              <w:bottom w:val="single" w:sz="4" w:space="0" w:color="auto"/>
            </w:tcBorders>
            <w:vAlign w:val="center"/>
          </w:tcPr>
          <w:p w:rsidR="00D841ED" w:rsidRPr="002617F5" w:rsidRDefault="00D841ED" w:rsidP="007352F2">
            <w:pPr>
              <w:rPr>
                <w:sz w:val="20"/>
                <w:szCs w:val="20"/>
              </w:rPr>
            </w:pPr>
            <w:r w:rsidRPr="002617F5">
              <w:rPr>
                <w:sz w:val="20"/>
                <w:szCs w:val="20"/>
              </w:rPr>
              <w:t xml:space="preserve">All academic matters at the University level, affiliated colleges and institutions. </w:t>
            </w:r>
          </w:p>
        </w:tc>
        <w:tc>
          <w:tcPr>
            <w:tcW w:w="2985" w:type="pct"/>
            <w:tcBorders>
              <w:top w:val="single" w:sz="4" w:space="0" w:color="auto"/>
              <w:bottom w:val="single" w:sz="4" w:space="0" w:color="auto"/>
            </w:tcBorders>
            <w:vAlign w:val="center"/>
          </w:tcPr>
          <w:p w:rsidR="00D841ED" w:rsidRPr="002617F5" w:rsidRDefault="00D841ED" w:rsidP="007352F2">
            <w:pPr>
              <w:numPr>
                <w:ilvl w:val="0"/>
                <w:numId w:val="3"/>
              </w:numPr>
              <w:rPr>
                <w:sz w:val="20"/>
                <w:szCs w:val="20"/>
              </w:rPr>
            </w:pPr>
            <w:r w:rsidRPr="002617F5">
              <w:rPr>
                <w:sz w:val="20"/>
                <w:szCs w:val="20"/>
              </w:rPr>
              <w:t xml:space="preserve">Deans </w:t>
            </w:r>
          </w:p>
          <w:p w:rsidR="00D841ED" w:rsidRPr="002617F5" w:rsidRDefault="00D841ED" w:rsidP="007352F2">
            <w:pPr>
              <w:numPr>
                <w:ilvl w:val="0"/>
                <w:numId w:val="3"/>
              </w:numPr>
              <w:rPr>
                <w:sz w:val="20"/>
                <w:szCs w:val="20"/>
              </w:rPr>
            </w:pPr>
            <w:r w:rsidRPr="002617F5">
              <w:rPr>
                <w:sz w:val="20"/>
                <w:szCs w:val="20"/>
              </w:rPr>
              <w:t>Professors</w:t>
            </w:r>
          </w:p>
          <w:p w:rsidR="00D841ED" w:rsidRPr="002617F5" w:rsidRDefault="00D841ED" w:rsidP="007352F2">
            <w:pPr>
              <w:numPr>
                <w:ilvl w:val="0"/>
                <w:numId w:val="3"/>
              </w:numPr>
              <w:rPr>
                <w:sz w:val="20"/>
                <w:szCs w:val="20"/>
              </w:rPr>
            </w:pPr>
            <w:r w:rsidRPr="002617F5">
              <w:rPr>
                <w:sz w:val="20"/>
                <w:szCs w:val="20"/>
              </w:rPr>
              <w:t>Chairmen of teaching departments</w:t>
            </w:r>
          </w:p>
          <w:p w:rsidR="00D841ED" w:rsidRPr="002617F5" w:rsidRDefault="00D841ED" w:rsidP="007352F2">
            <w:pPr>
              <w:numPr>
                <w:ilvl w:val="0"/>
                <w:numId w:val="3"/>
              </w:numPr>
              <w:rPr>
                <w:sz w:val="20"/>
                <w:szCs w:val="20"/>
              </w:rPr>
            </w:pPr>
            <w:r w:rsidRPr="002617F5">
              <w:rPr>
                <w:sz w:val="20"/>
                <w:szCs w:val="20"/>
              </w:rPr>
              <w:t>Nominees of the Chancellor</w:t>
            </w:r>
          </w:p>
          <w:p w:rsidR="00D841ED" w:rsidRPr="002617F5" w:rsidRDefault="00D841ED" w:rsidP="007352F2">
            <w:pPr>
              <w:numPr>
                <w:ilvl w:val="0"/>
                <w:numId w:val="3"/>
              </w:numPr>
              <w:rPr>
                <w:sz w:val="20"/>
                <w:szCs w:val="20"/>
              </w:rPr>
            </w:pPr>
            <w:r w:rsidRPr="002617F5">
              <w:rPr>
                <w:sz w:val="20"/>
                <w:szCs w:val="20"/>
              </w:rPr>
              <w:t>Principals of affiliated colleges</w:t>
            </w:r>
          </w:p>
          <w:p w:rsidR="00D841ED" w:rsidRPr="002617F5" w:rsidRDefault="00D841ED" w:rsidP="007352F2">
            <w:pPr>
              <w:numPr>
                <w:ilvl w:val="0"/>
                <w:numId w:val="3"/>
              </w:numPr>
              <w:rPr>
                <w:sz w:val="20"/>
                <w:szCs w:val="20"/>
              </w:rPr>
            </w:pPr>
            <w:r w:rsidRPr="002617F5">
              <w:rPr>
                <w:sz w:val="20"/>
                <w:szCs w:val="20"/>
              </w:rPr>
              <w:t>Librarian</w:t>
            </w:r>
          </w:p>
          <w:p w:rsidR="00D841ED" w:rsidRPr="002617F5" w:rsidRDefault="00D841ED" w:rsidP="007352F2">
            <w:pPr>
              <w:numPr>
                <w:ilvl w:val="0"/>
                <w:numId w:val="3"/>
              </w:numPr>
              <w:rPr>
                <w:sz w:val="20"/>
                <w:szCs w:val="20"/>
              </w:rPr>
            </w:pPr>
            <w:r w:rsidRPr="002617F5">
              <w:rPr>
                <w:sz w:val="20"/>
                <w:szCs w:val="20"/>
              </w:rPr>
              <w:t>Representative/Secretary of Provincial Education Department</w:t>
            </w:r>
          </w:p>
          <w:p w:rsidR="00D841ED" w:rsidRPr="002617F5" w:rsidRDefault="00D841ED" w:rsidP="007352F2">
            <w:pPr>
              <w:numPr>
                <w:ilvl w:val="0"/>
                <w:numId w:val="3"/>
              </w:numPr>
              <w:rPr>
                <w:sz w:val="20"/>
                <w:szCs w:val="20"/>
              </w:rPr>
            </w:pPr>
            <w:r w:rsidRPr="002617F5">
              <w:rPr>
                <w:sz w:val="20"/>
                <w:szCs w:val="20"/>
              </w:rPr>
              <w:t>Experts of the fields pertinent to the University</w:t>
            </w:r>
          </w:p>
          <w:p w:rsidR="00D841ED" w:rsidRPr="002617F5" w:rsidRDefault="00D841ED" w:rsidP="007352F2">
            <w:pPr>
              <w:pStyle w:val="Heading1"/>
              <w:rPr>
                <w:sz w:val="20"/>
                <w:szCs w:val="20"/>
              </w:rPr>
            </w:pPr>
            <w:r w:rsidRPr="002617F5">
              <w:rPr>
                <w:sz w:val="20"/>
                <w:szCs w:val="20"/>
              </w:rPr>
              <w:t>Chaired by the Vice-Chancellor</w:t>
            </w:r>
          </w:p>
        </w:tc>
      </w:tr>
      <w:tr w:rsidR="00D841ED" w:rsidRPr="002617F5" w:rsidTr="00266C13">
        <w:tc>
          <w:tcPr>
            <w:tcW w:w="541" w:type="pct"/>
            <w:tcBorders>
              <w:top w:val="single" w:sz="4" w:space="0" w:color="auto"/>
              <w:bottom w:val="single" w:sz="4" w:space="0" w:color="auto"/>
            </w:tcBorders>
            <w:vAlign w:val="center"/>
          </w:tcPr>
          <w:p w:rsidR="00D841ED" w:rsidRPr="002617F5" w:rsidRDefault="00D841ED" w:rsidP="007352F2">
            <w:pPr>
              <w:rPr>
                <w:sz w:val="20"/>
                <w:szCs w:val="20"/>
              </w:rPr>
            </w:pPr>
            <w:r w:rsidRPr="002617F5">
              <w:rPr>
                <w:sz w:val="20"/>
                <w:szCs w:val="20"/>
              </w:rPr>
              <w:t>Syndicate</w:t>
            </w:r>
          </w:p>
        </w:tc>
        <w:tc>
          <w:tcPr>
            <w:tcW w:w="1474" w:type="pct"/>
            <w:tcBorders>
              <w:top w:val="single" w:sz="4" w:space="0" w:color="auto"/>
              <w:bottom w:val="single" w:sz="4" w:space="0" w:color="auto"/>
            </w:tcBorders>
            <w:vAlign w:val="center"/>
          </w:tcPr>
          <w:p w:rsidR="00D841ED" w:rsidRPr="002617F5" w:rsidRDefault="00D841ED" w:rsidP="007352F2">
            <w:pPr>
              <w:numPr>
                <w:ilvl w:val="0"/>
                <w:numId w:val="4"/>
              </w:numPr>
              <w:rPr>
                <w:sz w:val="20"/>
                <w:szCs w:val="20"/>
              </w:rPr>
            </w:pPr>
            <w:r w:rsidRPr="002617F5">
              <w:rPr>
                <w:sz w:val="20"/>
                <w:szCs w:val="20"/>
              </w:rPr>
              <w:t xml:space="preserve">Main executive body </w:t>
            </w:r>
          </w:p>
          <w:p w:rsidR="00D841ED" w:rsidRPr="002617F5" w:rsidRDefault="00D841ED" w:rsidP="007352F2">
            <w:pPr>
              <w:numPr>
                <w:ilvl w:val="0"/>
                <w:numId w:val="4"/>
              </w:numPr>
              <w:rPr>
                <w:sz w:val="20"/>
                <w:szCs w:val="20"/>
              </w:rPr>
            </w:pPr>
            <w:r w:rsidRPr="002617F5">
              <w:rPr>
                <w:sz w:val="20"/>
                <w:szCs w:val="20"/>
              </w:rPr>
              <w:t>Manage university funds and properties</w:t>
            </w:r>
          </w:p>
          <w:p w:rsidR="00D841ED" w:rsidRPr="002617F5" w:rsidRDefault="00D841ED" w:rsidP="007352F2">
            <w:pPr>
              <w:numPr>
                <w:ilvl w:val="0"/>
                <w:numId w:val="4"/>
              </w:numPr>
              <w:rPr>
                <w:sz w:val="20"/>
                <w:szCs w:val="20"/>
              </w:rPr>
            </w:pPr>
            <w:r w:rsidRPr="002617F5">
              <w:rPr>
                <w:sz w:val="20"/>
                <w:szCs w:val="20"/>
              </w:rPr>
              <w:t>Affiliate/disaffiliate colleges</w:t>
            </w:r>
          </w:p>
          <w:p w:rsidR="00D841ED" w:rsidRPr="002617F5" w:rsidRDefault="00D841ED" w:rsidP="007352F2">
            <w:pPr>
              <w:numPr>
                <w:ilvl w:val="0"/>
                <w:numId w:val="4"/>
              </w:numPr>
              <w:rPr>
                <w:sz w:val="20"/>
                <w:szCs w:val="20"/>
              </w:rPr>
            </w:pPr>
            <w:r w:rsidRPr="002617F5">
              <w:rPr>
                <w:sz w:val="20"/>
                <w:szCs w:val="20"/>
              </w:rPr>
              <w:t>Inspect affiliated institutions</w:t>
            </w:r>
          </w:p>
          <w:p w:rsidR="00D841ED" w:rsidRPr="002617F5" w:rsidRDefault="00D841ED" w:rsidP="007352F2">
            <w:pPr>
              <w:numPr>
                <w:ilvl w:val="0"/>
                <w:numId w:val="4"/>
              </w:numPr>
              <w:rPr>
                <w:sz w:val="20"/>
                <w:szCs w:val="20"/>
              </w:rPr>
            </w:pPr>
            <w:r w:rsidRPr="002617F5">
              <w:rPr>
                <w:sz w:val="20"/>
                <w:szCs w:val="20"/>
              </w:rPr>
              <w:t>Appoint officers and teachers</w:t>
            </w:r>
          </w:p>
          <w:p w:rsidR="00D841ED" w:rsidRPr="002617F5" w:rsidRDefault="00D841ED" w:rsidP="007352F2">
            <w:pPr>
              <w:numPr>
                <w:ilvl w:val="0"/>
                <w:numId w:val="4"/>
              </w:numPr>
              <w:rPr>
                <w:sz w:val="20"/>
                <w:szCs w:val="20"/>
              </w:rPr>
            </w:pPr>
            <w:r w:rsidRPr="002617F5">
              <w:rPr>
                <w:sz w:val="20"/>
                <w:szCs w:val="20"/>
              </w:rPr>
              <w:t>Oversee service matters of all the officers concerned</w:t>
            </w:r>
          </w:p>
        </w:tc>
        <w:tc>
          <w:tcPr>
            <w:tcW w:w="2985" w:type="pct"/>
            <w:tcBorders>
              <w:top w:val="single" w:sz="4" w:space="0" w:color="auto"/>
              <w:bottom w:val="single" w:sz="4" w:space="0" w:color="auto"/>
            </w:tcBorders>
            <w:vAlign w:val="center"/>
          </w:tcPr>
          <w:p w:rsidR="00D841ED" w:rsidRPr="002617F5" w:rsidRDefault="00D841ED" w:rsidP="007352F2">
            <w:pPr>
              <w:numPr>
                <w:ilvl w:val="0"/>
                <w:numId w:val="3"/>
              </w:numPr>
              <w:rPr>
                <w:sz w:val="20"/>
                <w:szCs w:val="20"/>
              </w:rPr>
            </w:pPr>
            <w:r w:rsidRPr="002617F5">
              <w:rPr>
                <w:sz w:val="20"/>
                <w:szCs w:val="20"/>
              </w:rPr>
              <w:t>Member of the provincial assembly</w:t>
            </w:r>
          </w:p>
          <w:p w:rsidR="00D841ED" w:rsidRPr="002617F5" w:rsidRDefault="00D841ED" w:rsidP="007352F2">
            <w:pPr>
              <w:numPr>
                <w:ilvl w:val="0"/>
                <w:numId w:val="3"/>
              </w:numPr>
              <w:rPr>
                <w:sz w:val="20"/>
                <w:szCs w:val="20"/>
              </w:rPr>
            </w:pPr>
            <w:r w:rsidRPr="002617F5">
              <w:rPr>
                <w:sz w:val="20"/>
                <w:szCs w:val="20"/>
              </w:rPr>
              <w:t>Members of University Senate</w:t>
            </w:r>
          </w:p>
          <w:p w:rsidR="00D841ED" w:rsidRPr="002617F5" w:rsidRDefault="00D841ED" w:rsidP="007352F2">
            <w:pPr>
              <w:numPr>
                <w:ilvl w:val="0"/>
                <w:numId w:val="3"/>
              </w:numPr>
              <w:rPr>
                <w:sz w:val="20"/>
                <w:szCs w:val="20"/>
              </w:rPr>
            </w:pPr>
            <w:r w:rsidRPr="002617F5">
              <w:rPr>
                <w:sz w:val="20"/>
                <w:szCs w:val="20"/>
              </w:rPr>
              <w:t>Chief Justice of the concerned High Court (or a Judge of the High Court nominated by him)</w:t>
            </w:r>
          </w:p>
          <w:p w:rsidR="00D841ED" w:rsidRPr="002617F5" w:rsidRDefault="00D841ED" w:rsidP="007352F2">
            <w:pPr>
              <w:numPr>
                <w:ilvl w:val="0"/>
                <w:numId w:val="3"/>
              </w:numPr>
              <w:rPr>
                <w:sz w:val="20"/>
                <w:szCs w:val="20"/>
              </w:rPr>
            </w:pPr>
            <w:r w:rsidRPr="002617F5">
              <w:rPr>
                <w:sz w:val="20"/>
                <w:szCs w:val="20"/>
              </w:rPr>
              <w:t>Secretary of the Provincial Education Department</w:t>
            </w:r>
          </w:p>
          <w:p w:rsidR="00D841ED" w:rsidRPr="002617F5" w:rsidRDefault="00D841ED" w:rsidP="007352F2">
            <w:pPr>
              <w:numPr>
                <w:ilvl w:val="0"/>
                <w:numId w:val="3"/>
              </w:numPr>
              <w:rPr>
                <w:sz w:val="20"/>
                <w:szCs w:val="20"/>
              </w:rPr>
            </w:pPr>
            <w:r w:rsidRPr="002617F5">
              <w:rPr>
                <w:sz w:val="20"/>
                <w:szCs w:val="20"/>
              </w:rPr>
              <w:t>Nominee of Universities Grants Commission</w:t>
            </w:r>
          </w:p>
          <w:p w:rsidR="00D841ED" w:rsidRPr="002617F5" w:rsidRDefault="00D841ED" w:rsidP="007352F2">
            <w:pPr>
              <w:numPr>
                <w:ilvl w:val="0"/>
                <w:numId w:val="3"/>
              </w:numPr>
              <w:rPr>
                <w:sz w:val="20"/>
                <w:szCs w:val="20"/>
              </w:rPr>
            </w:pPr>
            <w:r w:rsidRPr="002617F5">
              <w:rPr>
                <w:sz w:val="20"/>
                <w:szCs w:val="20"/>
              </w:rPr>
              <w:t>Deans</w:t>
            </w:r>
          </w:p>
          <w:p w:rsidR="00581357" w:rsidRPr="002617F5" w:rsidRDefault="00581357" w:rsidP="007352F2">
            <w:pPr>
              <w:numPr>
                <w:ilvl w:val="0"/>
                <w:numId w:val="3"/>
              </w:numPr>
              <w:rPr>
                <w:sz w:val="20"/>
                <w:szCs w:val="20"/>
              </w:rPr>
            </w:pPr>
            <w:r w:rsidRPr="002617F5">
              <w:rPr>
                <w:sz w:val="20"/>
                <w:szCs w:val="20"/>
              </w:rPr>
              <w:t xml:space="preserve">Members of </w:t>
            </w:r>
            <w:r w:rsidR="0017194D" w:rsidRPr="002617F5">
              <w:rPr>
                <w:sz w:val="20"/>
                <w:szCs w:val="20"/>
              </w:rPr>
              <w:t>p</w:t>
            </w:r>
            <w:r w:rsidRPr="002617F5">
              <w:rPr>
                <w:sz w:val="20"/>
                <w:szCs w:val="20"/>
              </w:rPr>
              <w:t xml:space="preserve">rovincial </w:t>
            </w:r>
            <w:r w:rsidR="0017194D" w:rsidRPr="002617F5">
              <w:rPr>
                <w:sz w:val="20"/>
                <w:szCs w:val="20"/>
              </w:rPr>
              <w:t>l</w:t>
            </w:r>
            <w:r w:rsidRPr="002617F5">
              <w:rPr>
                <w:sz w:val="20"/>
                <w:szCs w:val="20"/>
              </w:rPr>
              <w:t>egislatures</w:t>
            </w:r>
          </w:p>
          <w:p w:rsidR="00D841ED" w:rsidRPr="002617F5" w:rsidRDefault="00D841ED" w:rsidP="007352F2">
            <w:pPr>
              <w:numPr>
                <w:ilvl w:val="0"/>
                <w:numId w:val="3"/>
              </w:numPr>
              <w:rPr>
                <w:sz w:val="20"/>
                <w:szCs w:val="20"/>
              </w:rPr>
            </w:pPr>
            <w:r w:rsidRPr="002617F5">
              <w:rPr>
                <w:sz w:val="20"/>
                <w:szCs w:val="20"/>
              </w:rPr>
              <w:t>Representatives of University Professors/Teachers</w:t>
            </w:r>
          </w:p>
          <w:p w:rsidR="00D841ED" w:rsidRPr="002617F5" w:rsidRDefault="00D841ED" w:rsidP="007352F2">
            <w:pPr>
              <w:numPr>
                <w:ilvl w:val="0"/>
                <w:numId w:val="3"/>
              </w:numPr>
              <w:rPr>
                <w:sz w:val="20"/>
                <w:szCs w:val="20"/>
              </w:rPr>
            </w:pPr>
            <w:r w:rsidRPr="002617F5">
              <w:rPr>
                <w:sz w:val="20"/>
                <w:szCs w:val="20"/>
              </w:rPr>
              <w:t>Nominees of the Chancellor</w:t>
            </w:r>
          </w:p>
          <w:p w:rsidR="00D841ED" w:rsidRPr="002617F5" w:rsidRDefault="00D841ED" w:rsidP="007352F2">
            <w:pPr>
              <w:numPr>
                <w:ilvl w:val="0"/>
                <w:numId w:val="3"/>
              </w:numPr>
              <w:rPr>
                <w:sz w:val="20"/>
                <w:szCs w:val="20"/>
              </w:rPr>
            </w:pPr>
            <w:r w:rsidRPr="002617F5">
              <w:rPr>
                <w:sz w:val="20"/>
                <w:szCs w:val="20"/>
              </w:rPr>
              <w:t>Principals of affiliated colleges</w:t>
            </w:r>
          </w:p>
          <w:p w:rsidR="00D841ED" w:rsidRPr="002617F5" w:rsidRDefault="00D841ED" w:rsidP="007352F2">
            <w:pPr>
              <w:pStyle w:val="Heading1"/>
              <w:rPr>
                <w:sz w:val="20"/>
                <w:szCs w:val="20"/>
              </w:rPr>
            </w:pPr>
            <w:r w:rsidRPr="002617F5">
              <w:rPr>
                <w:sz w:val="20"/>
                <w:szCs w:val="20"/>
              </w:rPr>
              <w:t>Chaired by the Vice-Chancellor</w:t>
            </w:r>
          </w:p>
        </w:tc>
      </w:tr>
      <w:tr w:rsidR="00D841ED" w:rsidRPr="002617F5" w:rsidTr="00266C13">
        <w:tc>
          <w:tcPr>
            <w:tcW w:w="541" w:type="pct"/>
            <w:tcBorders>
              <w:top w:val="single" w:sz="4" w:space="0" w:color="auto"/>
              <w:bottom w:val="single" w:sz="4" w:space="0" w:color="auto"/>
            </w:tcBorders>
            <w:vAlign w:val="center"/>
          </w:tcPr>
          <w:p w:rsidR="00D841ED" w:rsidRPr="002617F5" w:rsidRDefault="00D841ED" w:rsidP="007352F2">
            <w:pPr>
              <w:rPr>
                <w:sz w:val="20"/>
                <w:szCs w:val="20"/>
              </w:rPr>
            </w:pPr>
            <w:r w:rsidRPr="002617F5">
              <w:rPr>
                <w:sz w:val="20"/>
                <w:szCs w:val="20"/>
              </w:rPr>
              <w:t>Senate</w:t>
            </w:r>
          </w:p>
        </w:tc>
        <w:tc>
          <w:tcPr>
            <w:tcW w:w="1474" w:type="pct"/>
            <w:tcBorders>
              <w:top w:val="single" w:sz="4" w:space="0" w:color="auto"/>
              <w:bottom w:val="single" w:sz="4" w:space="0" w:color="auto"/>
            </w:tcBorders>
            <w:vAlign w:val="center"/>
          </w:tcPr>
          <w:p w:rsidR="00D841ED" w:rsidRPr="002617F5" w:rsidRDefault="00D841ED" w:rsidP="007352F2">
            <w:pPr>
              <w:numPr>
                <w:ilvl w:val="0"/>
                <w:numId w:val="4"/>
              </w:numPr>
              <w:rPr>
                <w:sz w:val="20"/>
                <w:szCs w:val="20"/>
              </w:rPr>
            </w:pPr>
            <w:r w:rsidRPr="002617F5">
              <w:rPr>
                <w:sz w:val="20"/>
                <w:szCs w:val="20"/>
              </w:rPr>
              <w:t>Statutes</w:t>
            </w:r>
          </w:p>
          <w:p w:rsidR="00D841ED" w:rsidRPr="002617F5" w:rsidRDefault="00D841ED" w:rsidP="007352F2">
            <w:pPr>
              <w:numPr>
                <w:ilvl w:val="0"/>
                <w:numId w:val="4"/>
              </w:numPr>
              <w:rPr>
                <w:sz w:val="20"/>
                <w:szCs w:val="20"/>
              </w:rPr>
            </w:pPr>
            <w:r w:rsidRPr="002617F5">
              <w:rPr>
                <w:sz w:val="20"/>
                <w:szCs w:val="20"/>
              </w:rPr>
              <w:t>Review annual performance of the University</w:t>
            </w:r>
          </w:p>
          <w:p w:rsidR="00D841ED" w:rsidRPr="002617F5" w:rsidRDefault="00D841ED" w:rsidP="007352F2">
            <w:pPr>
              <w:numPr>
                <w:ilvl w:val="0"/>
                <w:numId w:val="4"/>
              </w:numPr>
              <w:rPr>
                <w:sz w:val="20"/>
                <w:szCs w:val="20"/>
              </w:rPr>
            </w:pPr>
            <w:r w:rsidRPr="002617F5">
              <w:rPr>
                <w:sz w:val="20"/>
                <w:szCs w:val="20"/>
              </w:rPr>
              <w:t>Appoint members to various bodies</w:t>
            </w:r>
          </w:p>
          <w:p w:rsidR="00D841ED" w:rsidRPr="002617F5" w:rsidRDefault="00D841ED" w:rsidP="007352F2">
            <w:pPr>
              <w:numPr>
                <w:ilvl w:val="0"/>
                <w:numId w:val="4"/>
              </w:numPr>
              <w:rPr>
                <w:sz w:val="20"/>
                <w:szCs w:val="20"/>
              </w:rPr>
            </w:pPr>
            <w:r w:rsidRPr="002617F5">
              <w:rPr>
                <w:sz w:val="20"/>
                <w:szCs w:val="20"/>
              </w:rPr>
              <w:t>Budgets and finance overlays</w:t>
            </w:r>
          </w:p>
        </w:tc>
        <w:tc>
          <w:tcPr>
            <w:tcW w:w="2985" w:type="pct"/>
            <w:tcBorders>
              <w:top w:val="single" w:sz="4" w:space="0" w:color="auto"/>
              <w:bottom w:val="single" w:sz="4" w:space="0" w:color="auto"/>
            </w:tcBorders>
            <w:vAlign w:val="center"/>
          </w:tcPr>
          <w:p w:rsidR="00D841ED" w:rsidRPr="002617F5" w:rsidRDefault="00D841ED" w:rsidP="007352F2">
            <w:pPr>
              <w:numPr>
                <w:ilvl w:val="0"/>
                <w:numId w:val="3"/>
              </w:numPr>
              <w:rPr>
                <w:sz w:val="20"/>
                <w:szCs w:val="20"/>
              </w:rPr>
            </w:pPr>
            <w:r w:rsidRPr="002617F5">
              <w:rPr>
                <w:sz w:val="20"/>
                <w:szCs w:val="20"/>
              </w:rPr>
              <w:t xml:space="preserve">Members of Syndicate </w:t>
            </w:r>
          </w:p>
          <w:p w:rsidR="00D841ED" w:rsidRPr="002617F5" w:rsidRDefault="00D841ED" w:rsidP="007352F2">
            <w:pPr>
              <w:numPr>
                <w:ilvl w:val="0"/>
                <w:numId w:val="3"/>
              </w:numPr>
              <w:rPr>
                <w:sz w:val="20"/>
                <w:szCs w:val="20"/>
              </w:rPr>
            </w:pPr>
            <w:r w:rsidRPr="002617F5">
              <w:rPr>
                <w:sz w:val="20"/>
                <w:szCs w:val="20"/>
              </w:rPr>
              <w:t>Officers</w:t>
            </w:r>
          </w:p>
          <w:p w:rsidR="00D841ED" w:rsidRPr="002617F5" w:rsidRDefault="00D841ED" w:rsidP="007352F2">
            <w:pPr>
              <w:numPr>
                <w:ilvl w:val="0"/>
                <w:numId w:val="3"/>
              </w:numPr>
              <w:rPr>
                <w:sz w:val="20"/>
                <w:szCs w:val="20"/>
              </w:rPr>
            </w:pPr>
            <w:r w:rsidRPr="002617F5">
              <w:rPr>
                <w:sz w:val="20"/>
                <w:szCs w:val="20"/>
              </w:rPr>
              <w:t>Professors</w:t>
            </w:r>
          </w:p>
          <w:p w:rsidR="00D841ED" w:rsidRPr="002617F5" w:rsidRDefault="00D841ED" w:rsidP="007352F2">
            <w:pPr>
              <w:numPr>
                <w:ilvl w:val="0"/>
                <w:numId w:val="3"/>
              </w:numPr>
              <w:rPr>
                <w:sz w:val="20"/>
                <w:szCs w:val="20"/>
              </w:rPr>
            </w:pPr>
            <w:r w:rsidRPr="002617F5">
              <w:rPr>
                <w:sz w:val="20"/>
                <w:szCs w:val="20"/>
              </w:rPr>
              <w:t>University teacher’s representative (other than professors)</w:t>
            </w:r>
          </w:p>
          <w:p w:rsidR="00B74C6C" w:rsidRPr="002617F5" w:rsidRDefault="00B74C6C" w:rsidP="007352F2">
            <w:pPr>
              <w:numPr>
                <w:ilvl w:val="0"/>
                <w:numId w:val="3"/>
              </w:numPr>
              <w:rPr>
                <w:sz w:val="20"/>
                <w:szCs w:val="20"/>
              </w:rPr>
            </w:pPr>
            <w:r w:rsidRPr="002617F5">
              <w:rPr>
                <w:sz w:val="20"/>
                <w:szCs w:val="20"/>
              </w:rPr>
              <w:t xml:space="preserve">Member of provincial legislature </w:t>
            </w:r>
          </w:p>
          <w:p w:rsidR="00D841ED" w:rsidRPr="002617F5" w:rsidRDefault="00D841ED" w:rsidP="007352F2">
            <w:pPr>
              <w:numPr>
                <w:ilvl w:val="0"/>
                <w:numId w:val="3"/>
              </w:numPr>
              <w:rPr>
                <w:sz w:val="20"/>
                <w:szCs w:val="20"/>
              </w:rPr>
            </w:pPr>
            <w:r w:rsidRPr="002617F5">
              <w:rPr>
                <w:sz w:val="20"/>
                <w:szCs w:val="20"/>
              </w:rPr>
              <w:t>Principals of affiliated colleges.</w:t>
            </w:r>
          </w:p>
          <w:p w:rsidR="00D841ED" w:rsidRPr="002617F5" w:rsidRDefault="00D841ED" w:rsidP="007352F2">
            <w:pPr>
              <w:numPr>
                <w:ilvl w:val="0"/>
                <w:numId w:val="3"/>
              </w:numPr>
              <w:rPr>
                <w:sz w:val="20"/>
                <w:szCs w:val="20"/>
              </w:rPr>
            </w:pPr>
            <w:r w:rsidRPr="002617F5">
              <w:rPr>
                <w:sz w:val="20"/>
                <w:szCs w:val="20"/>
              </w:rPr>
              <w:t>Students representatives</w:t>
            </w:r>
          </w:p>
          <w:p w:rsidR="00B74C6C" w:rsidRPr="002617F5" w:rsidRDefault="00B74C6C" w:rsidP="007352F2">
            <w:pPr>
              <w:numPr>
                <w:ilvl w:val="0"/>
                <w:numId w:val="3"/>
              </w:numPr>
              <w:rPr>
                <w:sz w:val="20"/>
                <w:szCs w:val="20"/>
              </w:rPr>
            </w:pPr>
            <w:r w:rsidRPr="002617F5">
              <w:rPr>
                <w:sz w:val="20"/>
                <w:szCs w:val="20"/>
              </w:rPr>
              <w:t>Civil society members</w:t>
            </w:r>
          </w:p>
          <w:p w:rsidR="00D841ED" w:rsidRPr="002617F5" w:rsidRDefault="00D841ED" w:rsidP="007352F2">
            <w:pPr>
              <w:numPr>
                <w:ilvl w:val="0"/>
                <w:numId w:val="3"/>
              </w:numPr>
              <w:rPr>
                <w:sz w:val="20"/>
                <w:szCs w:val="20"/>
              </w:rPr>
            </w:pPr>
            <w:r w:rsidRPr="002617F5">
              <w:rPr>
                <w:sz w:val="20"/>
                <w:szCs w:val="20"/>
              </w:rPr>
              <w:t>Alumni’s representative</w:t>
            </w:r>
          </w:p>
          <w:p w:rsidR="00D841ED" w:rsidRPr="002617F5" w:rsidRDefault="00D841ED" w:rsidP="007352F2">
            <w:pPr>
              <w:numPr>
                <w:ilvl w:val="0"/>
                <w:numId w:val="3"/>
              </w:numPr>
              <w:rPr>
                <w:sz w:val="20"/>
                <w:szCs w:val="20"/>
              </w:rPr>
            </w:pPr>
            <w:r w:rsidRPr="002617F5">
              <w:rPr>
                <w:sz w:val="20"/>
                <w:szCs w:val="20"/>
              </w:rPr>
              <w:t>Vice-Chancellor</w:t>
            </w:r>
          </w:p>
          <w:p w:rsidR="00D841ED" w:rsidRPr="002617F5" w:rsidRDefault="00D841ED" w:rsidP="007352F2">
            <w:pPr>
              <w:numPr>
                <w:ilvl w:val="0"/>
                <w:numId w:val="3"/>
              </w:numPr>
              <w:rPr>
                <w:sz w:val="20"/>
                <w:szCs w:val="20"/>
              </w:rPr>
            </w:pPr>
            <w:r w:rsidRPr="002617F5">
              <w:rPr>
                <w:sz w:val="20"/>
                <w:szCs w:val="20"/>
              </w:rPr>
              <w:t>Pro-Chancellor</w:t>
            </w:r>
          </w:p>
          <w:p w:rsidR="00D841ED" w:rsidRPr="002617F5" w:rsidRDefault="00D841ED" w:rsidP="007352F2">
            <w:pPr>
              <w:pStyle w:val="Heading1"/>
              <w:rPr>
                <w:sz w:val="20"/>
                <w:szCs w:val="20"/>
              </w:rPr>
            </w:pPr>
            <w:r w:rsidRPr="002617F5">
              <w:rPr>
                <w:sz w:val="20"/>
                <w:szCs w:val="20"/>
              </w:rPr>
              <w:t>Chaired by the Chancellor</w:t>
            </w:r>
          </w:p>
        </w:tc>
      </w:tr>
    </w:tbl>
    <w:p w:rsidR="00D841ED" w:rsidRPr="002617F5" w:rsidRDefault="00FA0C57" w:rsidP="007352F2">
      <w:pPr>
        <w:jc w:val="center"/>
        <w:rPr>
          <w:i/>
          <w:sz w:val="20"/>
        </w:rPr>
      </w:pPr>
      <w:r w:rsidRPr="002617F5">
        <w:rPr>
          <w:i/>
          <w:sz w:val="20"/>
        </w:rPr>
        <w:t>Source: Ahmed(</w:t>
      </w:r>
      <w:r w:rsidR="004C493F" w:rsidRPr="002617F5">
        <w:rPr>
          <w:i/>
          <w:sz w:val="20"/>
        </w:rPr>
        <w:t>2002a</w:t>
      </w:r>
      <w:r w:rsidRPr="002617F5">
        <w:rPr>
          <w:i/>
          <w:sz w:val="20"/>
        </w:rPr>
        <w:t>)</w:t>
      </w:r>
    </w:p>
    <w:p w:rsidR="00D841ED" w:rsidRPr="002617F5" w:rsidRDefault="007352F2" w:rsidP="007352F2">
      <w:pPr>
        <w:jc w:val="both"/>
      </w:pPr>
      <w:r w:rsidRPr="002617F5">
        <w:lastRenderedPageBreak/>
        <w:tab/>
      </w:r>
      <w:r w:rsidR="00D841ED" w:rsidRPr="002617F5">
        <w:t xml:space="preserve">It is a historically prevailing practice in Pakistan that, in the name of “reforms”, thoughtless and baseless revamping is done unabated. Initially, institutions and bodies are created without feasibility and later dumped without justification. Whether politics, development or vital sectors including education, the same dilemma prevails. The current approach adopted for managing universities is also a case in point. While a lot of general perceptions, hearsay and assumptions are cited against the malfunctioning of universities, no scientific study has been hitherto carried out to study the issues in their management, performance and outputs. </w:t>
      </w:r>
    </w:p>
    <w:p w:rsidR="00D841ED" w:rsidRPr="002617F5" w:rsidRDefault="00D841ED" w:rsidP="009428C5">
      <w:pPr>
        <w:jc w:val="both"/>
      </w:pPr>
    </w:p>
    <w:p w:rsidR="00D841ED" w:rsidRPr="002617F5" w:rsidRDefault="007352F2" w:rsidP="007352F2">
      <w:pPr>
        <w:jc w:val="both"/>
      </w:pPr>
      <w:r w:rsidRPr="002617F5">
        <w:tab/>
      </w:r>
      <w:r w:rsidR="00D841ED" w:rsidRPr="002617F5">
        <w:t xml:space="preserve">The universities are adequately independent in running their routine affairs. However a great deal of this independence is linked up to the kind of leadership the university is possessing. If the leadership – primarily the Vice-Chancellor and his academic and administrative officers – are able to understand their actual role and can steer the working of their sub ordinates, it alone can make a great deal of difference. While the routine hang-ups, delays, bureaucratic conflicts remain a part and parcel of the scenario, the autonomy within the University laws provide sufficient independence to the university administration to work without influence of external forces. </w:t>
      </w:r>
    </w:p>
    <w:p w:rsidR="00163C98" w:rsidRPr="002617F5" w:rsidRDefault="00163C98" w:rsidP="009458C6">
      <w:pPr>
        <w:ind w:left="720"/>
        <w:jc w:val="both"/>
      </w:pPr>
    </w:p>
    <w:p w:rsidR="005144D8" w:rsidRPr="002617F5" w:rsidRDefault="00265E61" w:rsidP="007352F2">
      <w:pPr>
        <w:spacing w:line="360" w:lineRule="auto"/>
        <w:jc w:val="both"/>
        <w:rPr>
          <w:b/>
        </w:rPr>
      </w:pPr>
      <w:r w:rsidRPr="002617F5">
        <w:rPr>
          <w:b/>
        </w:rPr>
        <w:t>Q</w:t>
      </w:r>
      <w:r w:rsidR="009A761E" w:rsidRPr="002617F5">
        <w:rPr>
          <w:b/>
        </w:rPr>
        <w:t>uality Assurance Issues</w:t>
      </w:r>
    </w:p>
    <w:p w:rsidR="008C7853" w:rsidRPr="002617F5" w:rsidRDefault="007352F2" w:rsidP="007352F2">
      <w:pPr>
        <w:jc w:val="both"/>
      </w:pPr>
      <w:r w:rsidRPr="002617F5">
        <w:tab/>
      </w:r>
      <w:r w:rsidR="009A761E" w:rsidRPr="002617F5">
        <w:t xml:space="preserve">The reputation of universities remains a pressing issue. Many universities, especially in economically and socially </w:t>
      </w:r>
      <w:r w:rsidR="00821D63" w:rsidRPr="002617F5">
        <w:t xml:space="preserve">deprived </w:t>
      </w:r>
      <w:r w:rsidR="009A761E" w:rsidRPr="002617F5">
        <w:t xml:space="preserve">locations, face the problem of basic performance and image. These universities need assistance in raising basic teaching standards, shortage of quality faculty and academic discipline. Quality </w:t>
      </w:r>
      <w:r w:rsidR="007552F3" w:rsidRPr="002617F5">
        <w:t>assurance needs</w:t>
      </w:r>
      <w:r w:rsidR="009A761E" w:rsidRPr="002617F5">
        <w:t xml:space="preserve">to follow a different yardstick. Borrowed ideas of quality assurance can seldom relate to the </w:t>
      </w:r>
      <w:r w:rsidR="004C493F" w:rsidRPr="002617F5">
        <w:t xml:space="preserve">inherent </w:t>
      </w:r>
      <w:r w:rsidR="009A761E" w:rsidRPr="002617F5">
        <w:t xml:space="preserve">problems faced by local institutions. However this is not properly applied. </w:t>
      </w:r>
      <w:r w:rsidR="008C7853" w:rsidRPr="002617F5">
        <w:t>Under normal circumstances, ranking is used as a tool to provide the performance measure of an institution in a comparative scale. It is conventionally aimed to inform the stakeholders (and the society at large) about the status of various institutions; empirical reasons behind the relatively better or worse performances; potential case studies for replication based on success/good performance and a support instrument for the respective stakeholders to re-position their goals and strategies. Universities and colleges, being the prime knowledge dissemination mechanisms, benefit greatly from such exercises. However looking at the past performances of Pakistani universities and the endemic conditions that are all vital to be considered, a careful approach for ranking must be worked out</w:t>
      </w:r>
      <w:r w:rsidR="004C493F" w:rsidRPr="002617F5">
        <w:t xml:space="preserve"> (Ahmed, 2006b)</w:t>
      </w:r>
      <w:r w:rsidR="008C7853" w:rsidRPr="002617F5">
        <w:t xml:space="preserve">. </w:t>
      </w:r>
    </w:p>
    <w:p w:rsidR="008C7853" w:rsidRPr="002617F5" w:rsidRDefault="008C7853" w:rsidP="009428C5">
      <w:pPr>
        <w:jc w:val="both"/>
      </w:pPr>
    </w:p>
    <w:p w:rsidR="008C7853" w:rsidRPr="002617F5" w:rsidRDefault="007352F2" w:rsidP="007352F2">
      <w:pPr>
        <w:jc w:val="both"/>
      </w:pPr>
      <w:r w:rsidRPr="002617F5">
        <w:tab/>
      </w:r>
      <w:r w:rsidR="008C7853" w:rsidRPr="002617F5">
        <w:t>Unlike the universities in the developed world, the decision making by the prospective students to join an institution is governed by very different considerations. It is not necessarily the academic merit or performance that helps in making such choices. Public sector universities open admissions to residents of the same division/district</w:t>
      </w:r>
      <w:r w:rsidR="00821D63" w:rsidRPr="002617F5">
        <w:t xml:space="preserve"> and province</w:t>
      </w:r>
      <w:r w:rsidR="008C7853" w:rsidRPr="002617F5">
        <w:t>. It is next to impossible for an aspirant from Punjab to study in the University of Sindh or vice versa</w:t>
      </w:r>
      <w:r w:rsidR="00821D63" w:rsidRPr="002617F5">
        <w:t>, at least at undergraduate level</w:t>
      </w:r>
      <w:r w:rsidR="008C7853" w:rsidRPr="002617F5">
        <w:t>. Well aware about the captive clientele, some of these universities do not attempt to enhance their academic potential. The post-degree employability which is confined to some disciplines is also a very important consideration. Such disciplines which are in market demand are chosen, even if the quality of instruction or research is not up to the mark. For this reason many well performing departments in social sciences and humanities are not able to attract bright students. On the contrary, computer and information technology or telecommunications related departments are flocked by hundreds – certainly not always due to the overall teaching quality in those places. This factor becomes a prominent characteristic in labeling a ‘good’ and ‘not so good’ academic outfit. For instance, a department teaching a reg</w:t>
      </w:r>
      <w:r w:rsidR="00A128FD" w:rsidRPr="002617F5">
        <w:t xml:space="preserve">ional language is looked down </w:t>
      </w:r>
      <w:r w:rsidR="008C7853" w:rsidRPr="002617F5">
        <w:t xml:space="preserve">on, irrespective of its teaching and research capabilities. </w:t>
      </w:r>
    </w:p>
    <w:p w:rsidR="008C7853" w:rsidRPr="002617F5" w:rsidRDefault="008C7853" w:rsidP="009428C5">
      <w:pPr>
        <w:jc w:val="both"/>
      </w:pPr>
    </w:p>
    <w:p w:rsidR="008C7853" w:rsidRPr="002617F5" w:rsidRDefault="007352F2" w:rsidP="007352F2">
      <w:pPr>
        <w:jc w:val="both"/>
      </w:pPr>
      <w:r w:rsidRPr="002617F5">
        <w:lastRenderedPageBreak/>
        <w:tab/>
      </w:r>
      <w:r w:rsidR="008C7853" w:rsidRPr="002617F5">
        <w:t xml:space="preserve">Often research by the university departments and faculty members is conventionally mentioned as a yardstick in ranking. Practically referring, it is an absolutely grey area to be applied for judging the performance. A convenient medium to judge this attribute is to count the number of papers published in journals. </w:t>
      </w:r>
      <w:r w:rsidR="00DF6719" w:rsidRPr="002617F5">
        <w:t xml:space="preserve">Many </w:t>
      </w:r>
      <w:r w:rsidR="008C7853" w:rsidRPr="002617F5">
        <w:t xml:space="preserve">faculty members usually find the easy way out. They limit to the bare minimum level of publications to obtain promotion or appointment in a higher grade post. In some cases these publications are merely restricted to their doctoral or </w:t>
      </w:r>
      <w:r w:rsidR="00E57F27" w:rsidRPr="002617F5">
        <w:t>master’s</w:t>
      </w:r>
      <w:r w:rsidR="008C7853" w:rsidRPr="002617F5">
        <w:t xml:space="preserve"> thesis reports. </w:t>
      </w:r>
      <w:r w:rsidR="00DF6719" w:rsidRPr="002617F5">
        <w:t xml:space="preserve">Some </w:t>
      </w:r>
      <w:r w:rsidR="008C7853" w:rsidRPr="002617F5">
        <w:t xml:space="preserve">faculty </w:t>
      </w:r>
      <w:r w:rsidR="00DF6719" w:rsidRPr="002617F5">
        <w:t xml:space="preserve">members </w:t>
      </w:r>
      <w:r w:rsidR="008C7853" w:rsidRPr="002617F5">
        <w:t xml:space="preserve">never bother to take interest in new research work once their mandatory requirement of publications is met. If a review of Ph.D. holders in Pakistan and their status of publications </w:t>
      </w:r>
      <w:r w:rsidR="007552F3" w:rsidRPr="002617F5">
        <w:t>are</w:t>
      </w:r>
      <w:r w:rsidR="008C7853" w:rsidRPr="002617F5">
        <w:t xml:space="preserve"> separately conducted, it is likely to paint a very bleak scene. </w:t>
      </w:r>
      <w:r w:rsidR="000B626A" w:rsidRPr="002617F5">
        <w:t>Self-motivation</w:t>
      </w:r>
      <w:r w:rsidR="008C7853" w:rsidRPr="002617F5">
        <w:t xml:space="preserve"> towards research does not make a determinant in any of these assessments. Avenues for research funding are also limited to select area of operation. </w:t>
      </w:r>
    </w:p>
    <w:p w:rsidR="009A761E" w:rsidRPr="002617F5" w:rsidRDefault="009A761E" w:rsidP="009428C5">
      <w:pPr>
        <w:ind w:left="720" w:hanging="720"/>
        <w:jc w:val="both"/>
      </w:pPr>
    </w:p>
    <w:p w:rsidR="0025188C" w:rsidRPr="002617F5" w:rsidRDefault="0025188C" w:rsidP="007352F2">
      <w:pPr>
        <w:spacing w:line="360" w:lineRule="auto"/>
        <w:ind w:left="720" w:hanging="720"/>
        <w:jc w:val="both"/>
        <w:rPr>
          <w:b/>
        </w:rPr>
      </w:pPr>
      <w:r w:rsidRPr="002617F5">
        <w:rPr>
          <w:b/>
        </w:rPr>
        <w:t xml:space="preserve">Financial Sustenance </w:t>
      </w:r>
    </w:p>
    <w:p w:rsidR="00216F74" w:rsidRPr="002617F5" w:rsidRDefault="007352F2" w:rsidP="007352F2">
      <w:pPr>
        <w:pStyle w:val="BodyText"/>
      </w:pPr>
      <w:r w:rsidRPr="002617F5">
        <w:tab/>
      </w:r>
      <w:r w:rsidR="00216F74" w:rsidRPr="002617F5">
        <w:t xml:space="preserve">University funding and disbursement of annual grants is a central controlling chord that keeps all under strict tutelage of the federal government. The grants, till the </w:t>
      </w:r>
      <w:r w:rsidR="00BF269D" w:rsidRPr="002617F5">
        <w:t>previous decade</w:t>
      </w:r>
      <w:r w:rsidR="00216F74" w:rsidRPr="002617F5">
        <w:t xml:space="preserve">, were disbursed through the University Grants Commission – a centrally organized body that evolved into a giant bureaucracy. The universities, therefore were left with no choice but to follow the prescriptions of federal agendas into their working. Although provincially governed, financial control created a sizable niche for the federal government to intervene. Obviously financial control led to academic and even administrative subservience. Obviously, the state universities had to ‘behave well’ in every respect of their operation not to displease their funding arm. The creation of endowments, as suggested by the SCHE is a commendable recommendation which should be supported. </w:t>
      </w:r>
      <w:r w:rsidR="0052291F" w:rsidRPr="002617F5">
        <w:t xml:space="preserve">HEC has been disbursing funds in a satisfactory manner till 2007 after which the new regime gradually reduced the allocation to higher education. This short sighted approach can have grave consequences in socio-economic respect. </w:t>
      </w:r>
      <w:r w:rsidR="00216F74" w:rsidRPr="002617F5">
        <w:t xml:space="preserve">Building up a viable human capital can only be facilitated through the provision of quality education to masses at affordable charges. As these individuals contribute in the stimulation of economic activity in their respective spheres of operation, the nation indirectly recovers the investment done in the provision of education at what can be called subsidized rates. If done otherwise, society will confront a large mass of frustrated and agitated people capable enough to bring down the whole state super structure. </w:t>
      </w:r>
    </w:p>
    <w:p w:rsidR="001426C6" w:rsidRPr="002617F5" w:rsidRDefault="001426C6" w:rsidP="009428C5">
      <w:pPr>
        <w:jc w:val="both"/>
      </w:pPr>
    </w:p>
    <w:p w:rsidR="007E6FE8" w:rsidRPr="002617F5" w:rsidRDefault="007E6FE8" w:rsidP="007352F2">
      <w:pPr>
        <w:spacing w:line="360" w:lineRule="auto"/>
        <w:jc w:val="both"/>
        <w:rPr>
          <w:b/>
        </w:rPr>
      </w:pPr>
      <w:r w:rsidRPr="002617F5">
        <w:rPr>
          <w:b/>
        </w:rPr>
        <w:t xml:space="preserve">CONCLUSIONS AND RECOMMENDATIONS </w:t>
      </w:r>
    </w:p>
    <w:p w:rsidR="000F3868" w:rsidRPr="002617F5" w:rsidRDefault="007352F2" w:rsidP="007352F2">
      <w:pPr>
        <w:jc w:val="both"/>
      </w:pPr>
      <w:r w:rsidRPr="002617F5">
        <w:tab/>
      </w:r>
      <w:r w:rsidR="000F3868" w:rsidRPr="002617F5">
        <w:t xml:space="preserve">Although the issues pertinent to public and private sector universities are grave from many respects, there are several potentials that need to be fully exploited in order to make these universities worthy of their academic status. One, public sector universities still </w:t>
      </w:r>
      <w:r w:rsidR="007552F3" w:rsidRPr="002617F5">
        <w:t>draws</w:t>
      </w:r>
      <w:r w:rsidR="000F3868" w:rsidRPr="002617F5">
        <w:t xml:space="preserve"> the best of intakes from the high schools. All this meritorious lot requires is provision of a reasonable amount of academic facilities and quality learning conditions. If a favourable learning environment is created, this student body can surely evolve into an all useful human resource for the service of the nation. Two, with some exceptions, still the public sector universities have some of the best and highly qualified faculty members available in the country. They however need encouragement, support and freedom to operate in line with their academic pursuits. Most of the faculty members are well meaning and willing to contribute. Favourable working conditions and a strong university leadership is needed to streamline their inputs. Three, the federal government is the main provider of the funds in the form of periodic grants. Instead of keeping the disbursement a continued process, efforts should be made to help develop endowments which can be independently managed by the university syndicates. In this way the universities will also acquire working independence. Almost all the prestigious universities around the globe such as </w:t>
      </w:r>
      <w:r w:rsidR="00AE3A8C" w:rsidRPr="002617F5">
        <w:t>Oxbridge in the United Kingdom or Ivy league institutions in the United States</w:t>
      </w:r>
      <w:r w:rsidR="000F3868" w:rsidRPr="002617F5">
        <w:t xml:space="preserve"> are structured in this manner. Four, the universities possess potential researchers. The need is to create commercially </w:t>
      </w:r>
      <w:r w:rsidR="000F3868" w:rsidRPr="002617F5">
        <w:lastRenderedPageBreak/>
        <w:t>viable research ventures that could generate such results which can be utilized by the society at large. And five, the composition of existing Syndicates and Senates should also draw membership from the society, industry and business related to the type of the university. This will help reduce the communication and working gap between the university and its surrounding context.</w:t>
      </w:r>
    </w:p>
    <w:p w:rsidR="00982807" w:rsidRPr="002617F5" w:rsidRDefault="00982807" w:rsidP="009428C5">
      <w:pPr>
        <w:jc w:val="both"/>
      </w:pPr>
    </w:p>
    <w:p w:rsidR="000F3868" w:rsidRPr="002617F5" w:rsidRDefault="007352F2" w:rsidP="007352F2">
      <w:pPr>
        <w:jc w:val="both"/>
      </w:pPr>
      <w:r w:rsidRPr="002617F5">
        <w:tab/>
      </w:r>
      <w:r w:rsidR="000F3868" w:rsidRPr="002617F5">
        <w:t>The ranking exercise needs to be revisited. It may be worthwhile to develop a rationale leading to a realistic and purpose oriented criteria (see Figure-0</w:t>
      </w:r>
      <w:r w:rsidR="00A042AA" w:rsidRPr="002617F5">
        <w:t>2</w:t>
      </w:r>
      <w:r w:rsidR="000F3868" w:rsidRPr="002617F5">
        <w:t>). Besides, the objectives of the ranking process must be clearly spelled out to generate consensus among the universities. The Vice-Chancellors Conference under HEC auspices may be a good launching platform. Thereafter, a draft document prepared through such an exercise, may be sent to all the participating universities for the consideration of their academic councils and boards. The determination of ranking must comprise teaching, research, publications academic services and interface with industry/market/society. The statutes governing the routine functioning of each university/institution possess a well formed set of statutes. The prescriptions for performance determination are clearly laid down in them. Every university may be en</w:t>
      </w:r>
      <w:r w:rsidRPr="002617F5">
        <w:t>couraged to come up with a self-</w:t>
      </w:r>
      <w:r w:rsidR="000F3868" w:rsidRPr="002617F5">
        <w:t>assessment report covering these aspects. External support for detailed review and analysis may be sought whenever required. However the aim of external input must be largely kept as proactive to help the concerned universi</w:t>
      </w:r>
      <w:r w:rsidR="00733B27" w:rsidRPr="002617F5">
        <w:t>ty/institution take corrective</w:t>
      </w:r>
      <w:r w:rsidR="000F3868" w:rsidRPr="002617F5">
        <w:t xml:space="preserve"> steps. </w:t>
      </w:r>
    </w:p>
    <w:p w:rsidR="007352F2" w:rsidRPr="002617F5" w:rsidRDefault="007352F2" w:rsidP="007352F2"/>
    <w:p w:rsidR="000F3868" w:rsidRPr="002617F5" w:rsidRDefault="00730F08" w:rsidP="007352F2">
      <w:pPr>
        <w:spacing w:line="360" w:lineRule="auto"/>
        <w:rPr>
          <w:b/>
          <w:sz w:val="20"/>
          <w:szCs w:val="20"/>
        </w:rPr>
      </w:pPr>
      <w:r w:rsidRPr="002617F5">
        <w:rPr>
          <w:b/>
          <w:sz w:val="20"/>
          <w:szCs w:val="20"/>
        </w:rPr>
        <w:t>FIGURE</w:t>
      </w:r>
      <w:r w:rsidR="00A042AA" w:rsidRPr="002617F5">
        <w:rPr>
          <w:b/>
          <w:sz w:val="20"/>
          <w:szCs w:val="20"/>
        </w:rPr>
        <w:t>2</w:t>
      </w:r>
      <w:r w:rsidR="007352F2" w:rsidRPr="002617F5">
        <w:rPr>
          <w:b/>
          <w:sz w:val="20"/>
          <w:szCs w:val="20"/>
        </w:rPr>
        <w:t xml:space="preserve">: </w:t>
      </w:r>
      <w:r w:rsidRPr="002617F5">
        <w:rPr>
          <w:b/>
          <w:sz w:val="20"/>
          <w:szCs w:val="20"/>
        </w:rPr>
        <w:t>ESTABLISHING A RANKING PROFILE FOR UNIVERSITIESA PROPOSED LIST</w:t>
      </w:r>
    </w:p>
    <w:tbl>
      <w:tblPr>
        <w:tblW w:w="0" w:type="auto"/>
        <w:tblLook w:val="00BF"/>
      </w:tblPr>
      <w:tblGrid>
        <w:gridCol w:w="1782"/>
        <w:gridCol w:w="1745"/>
        <w:gridCol w:w="1778"/>
        <w:gridCol w:w="1950"/>
        <w:gridCol w:w="2420"/>
      </w:tblGrid>
      <w:tr w:rsidR="000F3868" w:rsidRPr="002617F5" w:rsidTr="007352F2">
        <w:tc>
          <w:tcPr>
            <w:tcW w:w="1915" w:type="dxa"/>
            <w:tcBorders>
              <w:top w:val="single" w:sz="4" w:space="0" w:color="auto"/>
              <w:bottom w:val="single" w:sz="4" w:space="0" w:color="auto"/>
            </w:tcBorders>
            <w:shd w:val="clear" w:color="auto" w:fill="auto"/>
            <w:vAlign w:val="center"/>
          </w:tcPr>
          <w:p w:rsidR="000F3868" w:rsidRPr="002617F5" w:rsidRDefault="000F3868" w:rsidP="007352F2">
            <w:pPr>
              <w:jc w:val="center"/>
              <w:rPr>
                <w:b/>
                <w:sz w:val="20"/>
                <w:szCs w:val="20"/>
              </w:rPr>
            </w:pPr>
            <w:r w:rsidRPr="002617F5">
              <w:rPr>
                <w:b/>
                <w:sz w:val="20"/>
                <w:szCs w:val="20"/>
              </w:rPr>
              <w:t>Teaching</w:t>
            </w:r>
          </w:p>
        </w:tc>
        <w:tc>
          <w:tcPr>
            <w:tcW w:w="1915" w:type="dxa"/>
            <w:tcBorders>
              <w:top w:val="single" w:sz="4" w:space="0" w:color="auto"/>
              <w:bottom w:val="single" w:sz="4" w:space="0" w:color="auto"/>
            </w:tcBorders>
            <w:shd w:val="clear" w:color="auto" w:fill="auto"/>
            <w:vAlign w:val="center"/>
          </w:tcPr>
          <w:p w:rsidR="000F3868" w:rsidRPr="002617F5" w:rsidRDefault="000F3868" w:rsidP="007352F2">
            <w:pPr>
              <w:jc w:val="center"/>
              <w:rPr>
                <w:b/>
                <w:sz w:val="20"/>
                <w:szCs w:val="20"/>
              </w:rPr>
            </w:pPr>
            <w:r w:rsidRPr="002617F5">
              <w:rPr>
                <w:b/>
                <w:sz w:val="20"/>
                <w:szCs w:val="20"/>
              </w:rPr>
              <w:t>Research</w:t>
            </w:r>
          </w:p>
        </w:tc>
        <w:tc>
          <w:tcPr>
            <w:tcW w:w="1915" w:type="dxa"/>
            <w:tcBorders>
              <w:top w:val="single" w:sz="4" w:space="0" w:color="auto"/>
              <w:bottom w:val="single" w:sz="4" w:space="0" w:color="auto"/>
            </w:tcBorders>
            <w:shd w:val="clear" w:color="auto" w:fill="auto"/>
            <w:vAlign w:val="center"/>
          </w:tcPr>
          <w:p w:rsidR="000F3868" w:rsidRPr="002617F5" w:rsidRDefault="000F3868" w:rsidP="007352F2">
            <w:pPr>
              <w:jc w:val="center"/>
              <w:rPr>
                <w:b/>
                <w:sz w:val="20"/>
                <w:szCs w:val="20"/>
              </w:rPr>
            </w:pPr>
            <w:r w:rsidRPr="002617F5">
              <w:rPr>
                <w:b/>
                <w:sz w:val="20"/>
                <w:szCs w:val="20"/>
              </w:rPr>
              <w:t>Publications</w:t>
            </w:r>
          </w:p>
        </w:tc>
        <w:tc>
          <w:tcPr>
            <w:tcW w:w="2301" w:type="dxa"/>
            <w:tcBorders>
              <w:top w:val="single" w:sz="4" w:space="0" w:color="auto"/>
              <w:bottom w:val="single" w:sz="4" w:space="0" w:color="auto"/>
            </w:tcBorders>
            <w:shd w:val="clear" w:color="auto" w:fill="auto"/>
            <w:vAlign w:val="center"/>
          </w:tcPr>
          <w:p w:rsidR="000F3868" w:rsidRPr="002617F5" w:rsidRDefault="000F3868" w:rsidP="007352F2">
            <w:pPr>
              <w:jc w:val="center"/>
              <w:rPr>
                <w:b/>
                <w:sz w:val="20"/>
                <w:szCs w:val="20"/>
              </w:rPr>
            </w:pPr>
            <w:r w:rsidRPr="002617F5">
              <w:rPr>
                <w:b/>
                <w:sz w:val="20"/>
                <w:szCs w:val="20"/>
              </w:rPr>
              <w:t>Academic Services/ Management Outputs</w:t>
            </w:r>
          </w:p>
        </w:tc>
        <w:tc>
          <w:tcPr>
            <w:tcW w:w="2835" w:type="dxa"/>
            <w:tcBorders>
              <w:top w:val="single" w:sz="4" w:space="0" w:color="auto"/>
              <w:bottom w:val="single" w:sz="4" w:space="0" w:color="auto"/>
            </w:tcBorders>
            <w:shd w:val="clear" w:color="auto" w:fill="auto"/>
            <w:vAlign w:val="center"/>
          </w:tcPr>
          <w:p w:rsidR="000F3868" w:rsidRPr="002617F5" w:rsidRDefault="000F3868" w:rsidP="007352F2">
            <w:pPr>
              <w:jc w:val="center"/>
              <w:rPr>
                <w:b/>
                <w:sz w:val="20"/>
                <w:szCs w:val="20"/>
              </w:rPr>
            </w:pPr>
            <w:r w:rsidRPr="002617F5">
              <w:rPr>
                <w:b/>
                <w:sz w:val="20"/>
                <w:szCs w:val="20"/>
              </w:rPr>
              <w:t>Interface with Society, Industry and Market</w:t>
            </w:r>
          </w:p>
        </w:tc>
      </w:tr>
      <w:tr w:rsidR="000F3868" w:rsidRPr="002617F5" w:rsidTr="007352F2">
        <w:tc>
          <w:tcPr>
            <w:tcW w:w="1915" w:type="dxa"/>
            <w:tcBorders>
              <w:top w:val="single" w:sz="4" w:space="0" w:color="auto"/>
              <w:bottom w:val="single" w:sz="4" w:space="0" w:color="auto"/>
            </w:tcBorders>
            <w:shd w:val="clear" w:color="auto" w:fill="auto"/>
          </w:tcPr>
          <w:p w:rsidR="000F3868" w:rsidRPr="002617F5" w:rsidRDefault="000F3868" w:rsidP="006F58B6">
            <w:pPr>
              <w:numPr>
                <w:ilvl w:val="0"/>
                <w:numId w:val="5"/>
              </w:numPr>
              <w:rPr>
                <w:sz w:val="20"/>
                <w:szCs w:val="20"/>
              </w:rPr>
            </w:pPr>
            <w:r w:rsidRPr="002617F5">
              <w:rPr>
                <w:sz w:val="20"/>
                <w:szCs w:val="20"/>
              </w:rPr>
              <w:t>Undergraduate programmes</w:t>
            </w:r>
          </w:p>
          <w:p w:rsidR="000F3868" w:rsidRPr="002617F5" w:rsidRDefault="000F3868" w:rsidP="006F58B6">
            <w:pPr>
              <w:numPr>
                <w:ilvl w:val="0"/>
                <w:numId w:val="5"/>
              </w:numPr>
              <w:rPr>
                <w:sz w:val="20"/>
                <w:szCs w:val="20"/>
              </w:rPr>
            </w:pPr>
            <w:r w:rsidRPr="002617F5">
              <w:rPr>
                <w:sz w:val="20"/>
                <w:szCs w:val="20"/>
              </w:rPr>
              <w:t>Postgraduate programmes</w:t>
            </w:r>
          </w:p>
          <w:p w:rsidR="000F3868" w:rsidRPr="002617F5" w:rsidRDefault="000F3868" w:rsidP="006F58B6">
            <w:pPr>
              <w:numPr>
                <w:ilvl w:val="0"/>
                <w:numId w:val="5"/>
              </w:numPr>
              <w:rPr>
                <w:sz w:val="20"/>
                <w:szCs w:val="20"/>
              </w:rPr>
            </w:pPr>
            <w:r w:rsidRPr="002617F5">
              <w:rPr>
                <w:sz w:val="20"/>
                <w:szCs w:val="20"/>
              </w:rPr>
              <w:t>Faculty members performance</w:t>
            </w:r>
          </w:p>
          <w:p w:rsidR="000F3868" w:rsidRPr="002617F5" w:rsidRDefault="000F3868" w:rsidP="006F58B6">
            <w:pPr>
              <w:numPr>
                <w:ilvl w:val="0"/>
                <w:numId w:val="5"/>
              </w:numPr>
              <w:rPr>
                <w:sz w:val="20"/>
                <w:szCs w:val="20"/>
              </w:rPr>
            </w:pPr>
            <w:r w:rsidRPr="002617F5">
              <w:rPr>
                <w:sz w:val="20"/>
                <w:szCs w:val="20"/>
              </w:rPr>
              <w:t>Students assessment</w:t>
            </w:r>
          </w:p>
          <w:p w:rsidR="000F3868" w:rsidRPr="002617F5" w:rsidRDefault="000F3868" w:rsidP="006F58B6">
            <w:pPr>
              <w:numPr>
                <w:ilvl w:val="0"/>
                <w:numId w:val="5"/>
              </w:numPr>
              <w:rPr>
                <w:sz w:val="20"/>
                <w:szCs w:val="20"/>
              </w:rPr>
            </w:pPr>
            <w:r w:rsidRPr="002617F5">
              <w:rPr>
                <w:sz w:val="20"/>
                <w:szCs w:val="20"/>
              </w:rPr>
              <w:t>Employer feedback</w:t>
            </w:r>
          </w:p>
          <w:p w:rsidR="000F3868" w:rsidRPr="002617F5" w:rsidRDefault="000F3868" w:rsidP="006F58B6">
            <w:pPr>
              <w:numPr>
                <w:ilvl w:val="0"/>
                <w:numId w:val="5"/>
              </w:numPr>
              <w:rPr>
                <w:sz w:val="20"/>
                <w:szCs w:val="20"/>
              </w:rPr>
            </w:pPr>
            <w:r w:rsidRPr="002617F5">
              <w:rPr>
                <w:sz w:val="20"/>
                <w:szCs w:val="20"/>
              </w:rPr>
              <w:t>Special purpose programmes</w:t>
            </w:r>
          </w:p>
          <w:p w:rsidR="000F3868" w:rsidRPr="002617F5" w:rsidRDefault="000F3868" w:rsidP="006F58B6">
            <w:pPr>
              <w:numPr>
                <w:ilvl w:val="0"/>
                <w:numId w:val="5"/>
              </w:numPr>
              <w:rPr>
                <w:sz w:val="20"/>
                <w:szCs w:val="20"/>
              </w:rPr>
            </w:pPr>
            <w:r w:rsidRPr="002617F5">
              <w:rPr>
                <w:sz w:val="20"/>
                <w:szCs w:val="20"/>
              </w:rPr>
              <w:t>Curriculum development and revision process</w:t>
            </w:r>
          </w:p>
          <w:p w:rsidR="000F3868" w:rsidRPr="002617F5" w:rsidRDefault="000F3868" w:rsidP="006F58B6">
            <w:pPr>
              <w:numPr>
                <w:ilvl w:val="0"/>
                <w:numId w:val="5"/>
              </w:numPr>
              <w:rPr>
                <w:sz w:val="20"/>
                <w:szCs w:val="20"/>
              </w:rPr>
            </w:pPr>
            <w:r w:rsidRPr="002617F5">
              <w:rPr>
                <w:sz w:val="20"/>
                <w:szCs w:val="20"/>
              </w:rPr>
              <w:t>Course delivery mechanism</w:t>
            </w:r>
          </w:p>
        </w:tc>
        <w:tc>
          <w:tcPr>
            <w:tcW w:w="1915" w:type="dxa"/>
            <w:tcBorders>
              <w:top w:val="single" w:sz="4" w:space="0" w:color="auto"/>
              <w:bottom w:val="single" w:sz="4" w:space="0" w:color="auto"/>
            </w:tcBorders>
            <w:shd w:val="clear" w:color="auto" w:fill="auto"/>
          </w:tcPr>
          <w:p w:rsidR="000F3868" w:rsidRPr="002617F5" w:rsidRDefault="000F3868" w:rsidP="006F58B6">
            <w:pPr>
              <w:numPr>
                <w:ilvl w:val="0"/>
                <w:numId w:val="5"/>
              </w:numPr>
              <w:rPr>
                <w:sz w:val="20"/>
                <w:szCs w:val="20"/>
              </w:rPr>
            </w:pPr>
            <w:r w:rsidRPr="002617F5">
              <w:rPr>
                <w:sz w:val="20"/>
                <w:szCs w:val="20"/>
              </w:rPr>
              <w:t>Research objectives</w:t>
            </w:r>
          </w:p>
          <w:p w:rsidR="000F3868" w:rsidRPr="002617F5" w:rsidRDefault="000F3868" w:rsidP="006F58B6">
            <w:pPr>
              <w:numPr>
                <w:ilvl w:val="0"/>
                <w:numId w:val="5"/>
              </w:numPr>
              <w:rPr>
                <w:sz w:val="20"/>
                <w:szCs w:val="20"/>
              </w:rPr>
            </w:pPr>
            <w:r w:rsidRPr="002617F5">
              <w:rPr>
                <w:sz w:val="20"/>
                <w:szCs w:val="20"/>
              </w:rPr>
              <w:t>Peer guided research</w:t>
            </w:r>
          </w:p>
          <w:p w:rsidR="000F3868" w:rsidRPr="002617F5" w:rsidRDefault="000F3868" w:rsidP="006F58B6">
            <w:pPr>
              <w:numPr>
                <w:ilvl w:val="0"/>
                <w:numId w:val="5"/>
              </w:numPr>
              <w:rPr>
                <w:sz w:val="20"/>
                <w:szCs w:val="20"/>
              </w:rPr>
            </w:pPr>
            <w:r w:rsidRPr="002617F5">
              <w:rPr>
                <w:sz w:val="20"/>
                <w:szCs w:val="20"/>
              </w:rPr>
              <w:t>Innovative research programmes/ projects</w:t>
            </w:r>
          </w:p>
          <w:p w:rsidR="000F3868" w:rsidRPr="002617F5" w:rsidRDefault="000F3868" w:rsidP="006F58B6">
            <w:pPr>
              <w:numPr>
                <w:ilvl w:val="0"/>
                <w:numId w:val="5"/>
              </w:numPr>
              <w:rPr>
                <w:sz w:val="20"/>
                <w:szCs w:val="20"/>
              </w:rPr>
            </w:pPr>
            <w:r w:rsidRPr="002617F5">
              <w:rPr>
                <w:sz w:val="20"/>
                <w:szCs w:val="20"/>
              </w:rPr>
              <w:t>Collaborative research</w:t>
            </w:r>
          </w:p>
          <w:p w:rsidR="000F3868" w:rsidRPr="002617F5" w:rsidRDefault="000F3868" w:rsidP="006F58B6">
            <w:pPr>
              <w:numPr>
                <w:ilvl w:val="0"/>
                <w:numId w:val="5"/>
              </w:numPr>
              <w:rPr>
                <w:sz w:val="20"/>
                <w:szCs w:val="20"/>
              </w:rPr>
            </w:pPr>
            <w:r w:rsidRPr="002617F5">
              <w:rPr>
                <w:sz w:val="20"/>
                <w:szCs w:val="20"/>
              </w:rPr>
              <w:t>Faculty’s participation in research</w:t>
            </w:r>
          </w:p>
          <w:p w:rsidR="000F3868" w:rsidRPr="002617F5" w:rsidRDefault="000F3868" w:rsidP="006F58B6">
            <w:pPr>
              <w:numPr>
                <w:ilvl w:val="0"/>
                <w:numId w:val="5"/>
              </w:numPr>
              <w:rPr>
                <w:sz w:val="20"/>
                <w:szCs w:val="20"/>
              </w:rPr>
            </w:pPr>
            <w:r w:rsidRPr="002617F5">
              <w:rPr>
                <w:sz w:val="20"/>
                <w:szCs w:val="20"/>
              </w:rPr>
              <w:t>Student participation in research programmes</w:t>
            </w:r>
          </w:p>
          <w:p w:rsidR="000F3868" w:rsidRPr="002617F5" w:rsidRDefault="000F3868" w:rsidP="006F58B6">
            <w:pPr>
              <w:numPr>
                <w:ilvl w:val="0"/>
                <w:numId w:val="5"/>
              </w:numPr>
              <w:rPr>
                <w:sz w:val="20"/>
                <w:szCs w:val="20"/>
              </w:rPr>
            </w:pPr>
            <w:r w:rsidRPr="002617F5">
              <w:rPr>
                <w:sz w:val="20"/>
                <w:szCs w:val="20"/>
              </w:rPr>
              <w:t>Impact factors and relevance</w:t>
            </w:r>
          </w:p>
          <w:p w:rsidR="000F3868" w:rsidRPr="002617F5" w:rsidRDefault="000F3868" w:rsidP="006F58B6">
            <w:pPr>
              <w:numPr>
                <w:ilvl w:val="0"/>
                <w:numId w:val="5"/>
              </w:numPr>
              <w:rPr>
                <w:sz w:val="20"/>
                <w:szCs w:val="20"/>
              </w:rPr>
            </w:pPr>
            <w:r w:rsidRPr="002617F5">
              <w:rPr>
                <w:sz w:val="20"/>
                <w:szCs w:val="20"/>
              </w:rPr>
              <w:t>Original contributions to knowledge</w:t>
            </w:r>
          </w:p>
        </w:tc>
        <w:tc>
          <w:tcPr>
            <w:tcW w:w="1915" w:type="dxa"/>
            <w:tcBorders>
              <w:top w:val="single" w:sz="4" w:space="0" w:color="auto"/>
              <w:bottom w:val="single" w:sz="4" w:space="0" w:color="auto"/>
            </w:tcBorders>
            <w:shd w:val="clear" w:color="auto" w:fill="auto"/>
          </w:tcPr>
          <w:p w:rsidR="000F3868" w:rsidRPr="002617F5" w:rsidRDefault="000F3868" w:rsidP="006F58B6">
            <w:pPr>
              <w:numPr>
                <w:ilvl w:val="0"/>
                <w:numId w:val="5"/>
              </w:numPr>
              <w:rPr>
                <w:sz w:val="20"/>
                <w:szCs w:val="20"/>
              </w:rPr>
            </w:pPr>
            <w:r w:rsidRPr="002617F5">
              <w:rPr>
                <w:sz w:val="20"/>
                <w:szCs w:val="20"/>
              </w:rPr>
              <w:t>Peer reviewed/ refereed publications</w:t>
            </w:r>
          </w:p>
          <w:p w:rsidR="000F3868" w:rsidRPr="002617F5" w:rsidRDefault="000F3868" w:rsidP="006F58B6">
            <w:pPr>
              <w:numPr>
                <w:ilvl w:val="0"/>
                <w:numId w:val="5"/>
              </w:numPr>
              <w:rPr>
                <w:sz w:val="20"/>
                <w:szCs w:val="20"/>
              </w:rPr>
            </w:pPr>
            <w:r w:rsidRPr="002617F5">
              <w:rPr>
                <w:sz w:val="20"/>
                <w:szCs w:val="20"/>
              </w:rPr>
              <w:t>Monographs</w:t>
            </w:r>
          </w:p>
          <w:p w:rsidR="000F3868" w:rsidRPr="002617F5" w:rsidRDefault="000F3868" w:rsidP="006F58B6">
            <w:pPr>
              <w:numPr>
                <w:ilvl w:val="0"/>
                <w:numId w:val="5"/>
              </w:numPr>
              <w:rPr>
                <w:sz w:val="20"/>
                <w:szCs w:val="20"/>
              </w:rPr>
            </w:pPr>
            <w:r w:rsidRPr="002617F5">
              <w:rPr>
                <w:sz w:val="20"/>
                <w:szCs w:val="20"/>
              </w:rPr>
              <w:t>Reports</w:t>
            </w:r>
          </w:p>
          <w:p w:rsidR="000F3868" w:rsidRPr="002617F5" w:rsidRDefault="000F3868" w:rsidP="006F58B6">
            <w:pPr>
              <w:numPr>
                <w:ilvl w:val="0"/>
                <w:numId w:val="5"/>
              </w:numPr>
              <w:rPr>
                <w:sz w:val="20"/>
                <w:szCs w:val="20"/>
              </w:rPr>
            </w:pPr>
            <w:r w:rsidRPr="002617F5">
              <w:rPr>
                <w:sz w:val="20"/>
                <w:szCs w:val="20"/>
              </w:rPr>
              <w:t>Proceedings</w:t>
            </w:r>
          </w:p>
          <w:p w:rsidR="000F3868" w:rsidRPr="002617F5" w:rsidRDefault="000F3868" w:rsidP="006F58B6">
            <w:pPr>
              <w:numPr>
                <w:ilvl w:val="0"/>
                <w:numId w:val="5"/>
              </w:numPr>
              <w:rPr>
                <w:sz w:val="20"/>
                <w:szCs w:val="20"/>
              </w:rPr>
            </w:pPr>
            <w:r w:rsidRPr="002617F5">
              <w:rPr>
                <w:sz w:val="20"/>
                <w:szCs w:val="20"/>
              </w:rPr>
              <w:t>Abstracts</w:t>
            </w:r>
          </w:p>
          <w:p w:rsidR="000F3868" w:rsidRPr="002617F5" w:rsidRDefault="000F3868" w:rsidP="006F58B6">
            <w:pPr>
              <w:numPr>
                <w:ilvl w:val="0"/>
                <w:numId w:val="5"/>
              </w:numPr>
              <w:rPr>
                <w:sz w:val="20"/>
                <w:szCs w:val="20"/>
              </w:rPr>
            </w:pPr>
            <w:r w:rsidRPr="002617F5">
              <w:rPr>
                <w:sz w:val="20"/>
                <w:szCs w:val="20"/>
              </w:rPr>
              <w:t>Bibliographies</w:t>
            </w:r>
          </w:p>
          <w:p w:rsidR="000F3868" w:rsidRPr="002617F5" w:rsidRDefault="000F3868" w:rsidP="006F58B6">
            <w:pPr>
              <w:numPr>
                <w:ilvl w:val="0"/>
                <w:numId w:val="5"/>
              </w:numPr>
              <w:rPr>
                <w:sz w:val="20"/>
                <w:szCs w:val="20"/>
              </w:rPr>
            </w:pPr>
            <w:r w:rsidRPr="002617F5">
              <w:rPr>
                <w:sz w:val="20"/>
                <w:szCs w:val="20"/>
              </w:rPr>
              <w:t>Catalogues</w:t>
            </w:r>
          </w:p>
          <w:p w:rsidR="000F3868" w:rsidRPr="002617F5" w:rsidRDefault="000F3868" w:rsidP="006F58B6">
            <w:pPr>
              <w:numPr>
                <w:ilvl w:val="0"/>
                <w:numId w:val="5"/>
              </w:numPr>
              <w:rPr>
                <w:sz w:val="20"/>
                <w:szCs w:val="20"/>
              </w:rPr>
            </w:pPr>
            <w:r w:rsidRPr="002617F5">
              <w:rPr>
                <w:sz w:val="20"/>
                <w:szCs w:val="20"/>
              </w:rPr>
              <w:t xml:space="preserve">Compendia </w:t>
            </w:r>
          </w:p>
          <w:p w:rsidR="000F3868" w:rsidRPr="002617F5" w:rsidRDefault="000F3868" w:rsidP="006F58B6">
            <w:pPr>
              <w:numPr>
                <w:ilvl w:val="0"/>
                <w:numId w:val="5"/>
              </w:numPr>
              <w:rPr>
                <w:sz w:val="20"/>
                <w:szCs w:val="20"/>
              </w:rPr>
            </w:pPr>
            <w:r w:rsidRPr="002617F5">
              <w:rPr>
                <w:sz w:val="20"/>
                <w:szCs w:val="20"/>
              </w:rPr>
              <w:t>General publications</w:t>
            </w:r>
          </w:p>
          <w:p w:rsidR="000F3868" w:rsidRPr="002617F5" w:rsidRDefault="000F3868" w:rsidP="006F58B6">
            <w:pPr>
              <w:numPr>
                <w:ilvl w:val="0"/>
                <w:numId w:val="5"/>
              </w:numPr>
              <w:rPr>
                <w:sz w:val="20"/>
                <w:szCs w:val="20"/>
              </w:rPr>
            </w:pPr>
            <w:r w:rsidRPr="002617F5">
              <w:rPr>
                <w:sz w:val="20"/>
                <w:szCs w:val="20"/>
              </w:rPr>
              <w:t>Readership</w:t>
            </w:r>
          </w:p>
          <w:p w:rsidR="000F3868" w:rsidRPr="002617F5" w:rsidRDefault="000F3868" w:rsidP="006F58B6">
            <w:pPr>
              <w:numPr>
                <w:ilvl w:val="0"/>
                <w:numId w:val="5"/>
              </w:numPr>
              <w:rPr>
                <w:sz w:val="20"/>
                <w:szCs w:val="20"/>
              </w:rPr>
            </w:pPr>
            <w:r w:rsidRPr="002617F5">
              <w:rPr>
                <w:sz w:val="20"/>
                <w:szCs w:val="20"/>
              </w:rPr>
              <w:t>Circulation</w:t>
            </w:r>
          </w:p>
          <w:p w:rsidR="000F3868" w:rsidRPr="002617F5" w:rsidRDefault="000F3868" w:rsidP="006F58B6">
            <w:pPr>
              <w:numPr>
                <w:ilvl w:val="0"/>
                <w:numId w:val="5"/>
              </w:numPr>
              <w:rPr>
                <w:sz w:val="20"/>
                <w:szCs w:val="20"/>
              </w:rPr>
            </w:pPr>
            <w:r w:rsidRPr="002617F5">
              <w:rPr>
                <w:sz w:val="20"/>
                <w:szCs w:val="20"/>
              </w:rPr>
              <w:t>Citation</w:t>
            </w:r>
          </w:p>
          <w:p w:rsidR="000F3868" w:rsidRPr="002617F5" w:rsidRDefault="000F3868" w:rsidP="006F58B6">
            <w:pPr>
              <w:numPr>
                <w:ilvl w:val="0"/>
                <w:numId w:val="5"/>
              </w:numPr>
              <w:rPr>
                <w:sz w:val="20"/>
                <w:szCs w:val="20"/>
              </w:rPr>
            </w:pPr>
            <w:r w:rsidRPr="002617F5">
              <w:rPr>
                <w:sz w:val="20"/>
                <w:szCs w:val="20"/>
              </w:rPr>
              <w:t>Impact</w:t>
            </w:r>
          </w:p>
        </w:tc>
        <w:tc>
          <w:tcPr>
            <w:tcW w:w="2301" w:type="dxa"/>
            <w:tcBorders>
              <w:top w:val="single" w:sz="4" w:space="0" w:color="auto"/>
              <w:bottom w:val="single" w:sz="4" w:space="0" w:color="auto"/>
            </w:tcBorders>
            <w:shd w:val="clear" w:color="auto" w:fill="auto"/>
          </w:tcPr>
          <w:p w:rsidR="000F3868" w:rsidRPr="002617F5" w:rsidRDefault="000F3868" w:rsidP="006F58B6">
            <w:pPr>
              <w:numPr>
                <w:ilvl w:val="0"/>
                <w:numId w:val="5"/>
              </w:numPr>
              <w:rPr>
                <w:sz w:val="20"/>
                <w:szCs w:val="20"/>
              </w:rPr>
            </w:pPr>
            <w:r w:rsidRPr="002617F5">
              <w:rPr>
                <w:sz w:val="20"/>
                <w:szCs w:val="20"/>
              </w:rPr>
              <w:t>Academic calendar</w:t>
            </w:r>
          </w:p>
          <w:p w:rsidR="000F3868" w:rsidRPr="002617F5" w:rsidRDefault="000F3868" w:rsidP="006F58B6">
            <w:pPr>
              <w:numPr>
                <w:ilvl w:val="0"/>
                <w:numId w:val="5"/>
              </w:numPr>
              <w:rPr>
                <w:sz w:val="20"/>
                <w:szCs w:val="20"/>
              </w:rPr>
            </w:pPr>
            <w:r w:rsidRPr="002617F5">
              <w:rPr>
                <w:sz w:val="20"/>
                <w:szCs w:val="20"/>
              </w:rPr>
              <w:t>Quality of programmes</w:t>
            </w:r>
          </w:p>
          <w:p w:rsidR="000F3868" w:rsidRPr="002617F5" w:rsidRDefault="000F3868" w:rsidP="006F58B6">
            <w:pPr>
              <w:numPr>
                <w:ilvl w:val="0"/>
                <w:numId w:val="5"/>
              </w:numPr>
              <w:rPr>
                <w:sz w:val="20"/>
                <w:szCs w:val="20"/>
              </w:rPr>
            </w:pPr>
            <w:r w:rsidRPr="002617F5">
              <w:rPr>
                <w:sz w:val="20"/>
                <w:szCs w:val="20"/>
              </w:rPr>
              <w:t>Student services (such as provision of transcripts, certificates, etc.)</w:t>
            </w:r>
          </w:p>
          <w:p w:rsidR="000F3868" w:rsidRPr="002617F5" w:rsidRDefault="000F3868" w:rsidP="006F58B6">
            <w:pPr>
              <w:numPr>
                <w:ilvl w:val="0"/>
                <w:numId w:val="5"/>
              </w:numPr>
              <w:rPr>
                <w:sz w:val="20"/>
                <w:szCs w:val="20"/>
              </w:rPr>
            </w:pPr>
            <w:r w:rsidRPr="002617F5">
              <w:rPr>
                <w:sz w:val="20"/>
                <w:szCs w:val="20"/>
              </w:rPr>
              <w:t>Outreach mechanisms for general public</w:t>
            </w:r>
          </w:p>
        </w:tc>
        <w:tc>
          <w:tcPr>
            <w:tcW w:w="2835" w:type="dxa"/>
            <w:tcBorders>
              <w:top w:val="single" w:sz="4" w:space="0" w:color="auto"/>
              <w:bottom w:val="single" w:sz="4" w:space="0" w:color="auto"/>
            </w:tcBorders>
            <w:shd w:val="clear" w:color="auto" w:fill="auto"/>
          </w:tcPr>
          <w:p w:rsidR="000F3868" w:rsidRPr="002617F5" w:rsidRDefault="000F3868" w:rsidP="006F58B6">
            <w:pPr>
              <w:numPr>
                <w:ilvl w:val="0"/>
                <w:numId w:val="5"/>
              </w:numPr>
              <w:rPr>
                <w:sz w:val="20"/>
                <w:szCs w:val="20"/>
              </w:rPr>
            </w:pPr>
            <w:r w:rsidRPr="002617F5">
              <w:rPr>
                <w:sz w:val="20"/>
                <w:szCs w:val="20"/>
              </w:rPr>
              <w:t>Responsiveness to social, economic and development issues</w:t>
            </w:r>
          </w:p>
          <w:p w:rsidR="000F3868" w:rsidRPr="002617F5" w:rsidRDefault="000F3868" w:rsidP="006F58B6">
            <w:pPr>
              <w:numPr>
                <w:ilvl w:val="0"/>
                <w:numId w:val="5"/>
              </w:numPr>
              <w:rPr>
                <w:sz w:val="20"/>
                <w:szCs w:val="20"/>
              </w:rPr>
            </w:pPr>
            <w:r w:rsidRPr="002617F5">
              <w:rPr>
                <w:sz w:val="20"/>
                <w:szCs w:val="20"/>
              </w:rPr>
              <w:t>Capacity to address specific problems</w:t>
            </w:r>
          </w:p>
          <w:p w:rsidR="000F3868" w:rsidRPr="002617F5" w:rsidRDefault="000F3868" w:rsidP="006F58B6">
            <w:pPr>
              <w:numPr>
                <w:ilvl w:val="0"/>
                <w:numId w:val="5"/>
              </w:numPr>
              <w:rPr>
                <w:sz w:val="20"/>
                <w:szCs w:val="20"/>
              </w:rPr>
            </w:pPr>
            <w:r w:rsidRPr="002617F5">
              <w:rPr>
                <w:sz w:val="20"/>
                <w:szCs w:val="20"/>
              </w:rPr>
              <w:t>Producing human resource as per the need of society / market / enterprises</w:t>
            </w:r>
          </w:p>
          <w:p w:rsidR="000F3868" w:rsidRPr="002617F5" w:rsidRDefault="000F3868" w:rsidP="006F58B6">
            <w:pPr>
              <w:numPr>
                <w:ilvl w:val="0"/>
                <w:numId w:val="5"/>
              </w:numPr>
              <w:rPr>
                <w:sz w:val="20"/>
                <w:szCs w:val="20"/>
              </w:rPr>
            </w:pPr>
            <w:r w:rsidRPr="002617F5">
              <w:rPr>
                <w:sz w:val="20"/>
                <w:szCs w:val="20"/>
              </w:rPr>
              <w:t>Accommodating the market and society</w:t>
            </w:r>
          </w:p>
          <w:p w:rsidR="000F3868" w:rsidRPr="002617F5" w:rsidRDefault="000F3868" w:rsidP="006F58B6">
            <w:pPr>
              <w:numPr>
                <w:ilvl w:val="0"/>
                <w:numId w:val="5"/>
              </w:numPr>
              <w:rPr>
                <w:sz w:val="20"/>
                <w:szCs w:val="20"/>
              </w:rPr>
            </w:pPr>
            <w:r w:rsidRPr="002617F5">
              <w:rPr>
                <w:sz w:val="20"/>
                <w:szCs w:val="20"/>
              </w:rPr>
              <w:t>Leadership role</w:t>
            </w:r>
          </w:p>
        </w:tc>
      </w:tr>
    </w:tbl>
    <w:p w:rsidR="000F3868" w:rsidRPr="002617F5" w:rsidRDefault="00A042AA" w:rsidP="007352F2">
      <w:pPr>
        <w:jc w:val="center"/>
        <w:rPr>
          <w:i/>
          <w:sz w:val="20"/>
          <w:szCs w:val="20"/>
        </w:rPr>
      </w:pPr>
      <w:r w:rsidRPr="002617F5">
        <w:rPr>
          <w:i/>
          <w:sz w:val="20"/>
          <w:szCs w:val="20"/>
        </w:rPr>
        <w:t>Source:</w:t>
      </w:r>
      <w:r w:rsidR="009F2B4E" w:rsidRPr="002617F5">
        <w:rPr>
          <w:i/>
          <w:sz w:val="20"/>
          <w:szCs w:val="20"/>
        </w:rPr>
        <w:t>(</w:t>
      </w:r>
      <w:r w:rsidRPr="002617F5">
        <w:rPr>
          <w:i/>
          <w:sz w:val="20"/>
          <w:szCs w:val="20"/>
        </w:rPr>
        <w:t xml:space="preserve"> Ahmed, 2006b</w:t>
      </w:r>
      <w:r w:rsidR="009F2B4E" w:rsidRPr="002617F5">
        <w:rPr>
          <w:i/>
          <w:sz w:val="20"/>
          <w:szCs w:val="20"/>
        </w:rPr>
        <w:t>)</w:t>
      </w:r>
    </w:p>
    <w:p w:rsidR="00A042AA" w:rsidRPr="002617F5" w:rsidRDefault="00A042AA" w:rsidP="009428C5">
      <w:pPr>
        <w:jc w:val="both"/>
      </w:pPr>
    </w:p>
    <w:p w:rsidR="000F3868" w:rsidRPr="002617F5" w:rsidRDefault="007352F2" w:rsidP="007352F2">
      <w:pPr>
        <w:jc w:val="both"/>
      </w:pPr>
      <w:r w:rsidRPr="002617F5">
        <w:tab/>
      </w:r>
      <w:r w:rsidR="000F3868" w:rsidRPr="002617F5">
        <w:t xml:space="preserve">It may be pragmatically hoped that the said ranking may be used as a baseline study in order to review the conditions and performance. This shall help identify common problems of the universities as well as specific problems observed at the individual cases. This strategy can evolve a support criteria for the universities where after they can become worthy for any internal or external assessment. </w:t>
      </w:r>
    </w:p>
    <w:p w:rsidR="000F3868" w:rsidRPr="002617F5" w:rsidRDefault="000F3868" w:rsidP="009428C5">
      <w:pPr>
        <w:jc w:val="both"/>
      </w:pPr>
    </w:p>
    <w:p w:rsidR="00982807" w:rsidRPr="002617F5" w:rsidRDefault="00982807" w:rsidP="009428C5">
      <w:pPr>
        <w:jc w:val="both"/>
      </w:pPr>
    </w:p>
    <w:p w:rsidR="00E20493" w:rsidRPr="002617F5" w:rsidRDefault="004A5A45" w:rsidP="007352F2">
      <w:pPr>
        <w:spacing w:line="360" w:lineRule="auto"/>
        <w:jc w:val="both"/>
        <w:rPr>
          <w:b/>
        </w:rPr>
      </w:pPr>
      <w:r w:rsidRPr="002617F5">
        <w:rPr>
          <w:b/>
        </w:rPr>
        <w:lastRenderedPageBreak/>
        <w:t>REFERENCES</w:t>
      </w:r>
    </w:p>
    <w:p w:rsidR="00E2029A" w:rsidRPr="002617F5" w:rsidRDefault="00853459" w:rsidP="008F210A">
      <w:r w:rsidRPr="002617F5">
        <w:t>Ahmed,</w:t>
      </w:r>
      <w:r w:rsidR="008F210A" w:rsidRPr="002617F5">
        <w:t xml:space="preserve"> </w:t>
      </w:r>
      <w:r w:rsidRPr="002617F5">
        <w:t>N</w:t>
      </w:r>
      <w:r w:rsidR="000B626A" w:rsidRPr="002617F5">
        <w:t>.</w:t>
      </w:r>
      <w:r w:rsidR="008F210A" w:rsidRPr="002617F5">
        <w:t xml:space="preserve"> </w:t>
      </w:r>
      <w:r w:rsidR="00E2029A" w:rsidRPr="002617F5">
        <w:t>(2007</w:t>
      </w:r>
      <w:r w:rsidR="004F0544" w:rsidRPr="002617F5">
        <w:t>a</w:t>
      </w:r>
      <w:r w:rsidR="004A5A45" w:rsidRPr="002617F5">
        <w:t>)</w:t>
      </w:r>
      <w:r w:rsidR="000B626A" w:rsidRPr="002617F5">
        <w:t>.</w:t>
      </w:r>
      <w:r w:rsidRPr="002617F5">
        <w:t>Composite</w:t>
      </w:r>
      <w:r w:rsidR="008F210A" w:rsidRPr="002617F5">
        <w:t xml:space="preserve"> </w:t>
      </w:r>
      <w:r w:rsidR="00D73C14" w:rsidRPr="002617F5">
        <w:t>Examinations</w:t>
      </w:r>
      <w:r w:rsidRPr="002617F5">
        <w:t>:</w:t>
      </w:r>
      <w:r w:rsidR="008F210A" w:rsidRPr="002617F5">
        <w:t xml:space="preserve"> </w:t>
      </w:r>
      <w:r w:rsidRPr="002617F5">
        <w:t>A</w:t>
      </w:r>
      <w:r w:rsidR="008F210A" w:rsidRPr="002617F5">
        <w:t xml:space="preserve"> </w:t>
      </w:r>
      <w:r w:rsidR="009143A1" w:rsidRPr="002617F5">
        <w:t>n</w:t>
      </w:r>
      <w:r w:rsidRPr="002617F5">
        <w:t>eedless</w:t>
      </w:r>
      <w:r w:rsidR="008F210A" w:rsidRPr="002617F5">
        <w:t xml:space="preserve"> </w:t>
      </w:r>
      <w:r w:rsidR="009143A1" w:rsidRPr="002617F5">
        <w:t>c</w:t>
      </w:r>
      <w:r w:rsidR="004F0544" w:rsidRPr="002617F5">
        <w:t>on</w:t>
      </w:r>
      <w:r w:rsidRPr="002617F5">
        <w:t>troversy.</w:t>
      </w:r>
      <w:r w:rsidR="008F210A" w:rsidRPr="002617F5">
        <w:t xml:space="preserve"> </w:t>
      </w:r>
      <w:r w:rsidR="00D73C14" w:rsidRPr="002617F5">
        <w:rPr>
          <w:i/>
        </w:rPr>
        <w:t>Dawn</w:t>
      </w:r>
      <w:r w:rsidR="008F210A" w:rsidRPr="002617F5">
        <w:rPr>
          <w:i/>
        </w:rPr>
        <w:t xml:space="preserve"> </w:t>
      </w:r>
      <w:r w:rsidRPr="002617F5">
        <w:t>(Article).</w:t>
      </w:r>
      <w:r w:rsidR="008F210A" w:rsidRPr="002617F5">
        <w:t xml:space="preserve"> </w:t>
      </w:r>
      <w:r w:rsidR="00D357E3" w:rsidRPr="002617F5">
        <w:t>Karachi</w:t>
      </w:r>
      <w:r w:rsidRPr="002617F5">
        <w:t>,</w:t>
      </w:r>
      <w:r w:rsidR="000B626A" w:rsidRPr="002617F5">
        <w:tab/>
      </w:r>
      <w:r w:rsidR="00AC3DB1" w:rsidRPr="002617F5">
        <w:t>p</w:t>
      </w:r>
      <w:r w:rsidR="00D73C14" w:rsidRPr="002617F5">
        <w:t>.17</w:t>
      </w:r>
    </w:p>
    <w:p w:rsidR="00D73C14" w:rsidRPr="002617F5" w:rsidRDefault="00D73C14" w:rsidP="008F210A">
      <w:pPr>
        <w:ind w:left="2160" w:hanging="2160"/>
        <w:rPr>
          <w:sz w:val="20"/>
          <w:szCs w:val="20"/>
        </w:rPr>
      </w:pPr>
    </w:p>
    <w:p w:rsidR="00D73C14" w:rsidRPr="002617F5" w:rsidRDefault="00D45594" w:rsidP="008F210A">
      <w:r w:rsidRPr="002617F5">
        <w:t xml:space="preserve">Ahmed, N. </w:t>
      </w:r>
      <w:r w:rsidR="00D73C14" w:rsidRPr="002617F5">
        <w:t>(2007b)</w:t>
      </w:r>
      <w:r w:rsidR="000B626A" w:rsidRPr="002617F5">
        <w:t xml:space="preserve">. </w:t>
      </w:r>
      <w:r w:rsidR="00D73C14" w:rsidRPr="002617F5">
        <w:t>Dealing with Deprave</w:t>
      </w:r>
      <w:r w:rsidR="00874EB8" w:rsidRPr="002617F5">
        <w:t xml:space="preserve">d – Examination </w:t>
      </w:r>
      <w:r w:rsidR="009143A1" w:rsidRPr="002617F5">
        <w:t>s</w:t>
      </w:r>
      <w:r w:rsidR="00874EB8" w:rsidRPr="002617F5">
        <w:t xml:space="preserve">ystem </w:t>
      </w:r>
      <w:r w:rsidR="009143A1" w:rsidRPr="002617F5">
        <w:t>a</w:t>
      </w:r>
      <w:r w:rsidR="00874EB8" w:rsidRPr="002617F5">
        <w:t>nalysed.</w:t>
      </w:r>
      <w:r w:rsidR="008F210A" w:rsidRPr="002617F5">
        <w:t xml:space="preserve"> </w:t>
      </w:r>
      <w:r w:rsidR="00D73C14" w:rsidRPr="002617F5">
        <w:rPr>
          <w:i/>
        </w:rPr>
        <w:t>Dawn</w:t>
      </w:r>
      <w:r w:rsidR="008F210A" w:rsidRPr="002617F5">
        <w:rPr>
          <w:i/>
        </w:rPr>
        <w:t xml:space="preserve"> </w:t>
      </w:r>
      <w:r w:rsidR="00874EB8" w:rsidRPr="002617F5">
        <w:t>(Article)</w:t>
      </w:r>
      <w:r w:rsidR="00923BA6" w:rsidRPr="002617F5">
        <w:t>.</w:t>
      </w:r>
      <w:r w:rsidR="000B626A" w:rsidRPr="002617F5">
        <w:tab/>
      </w:r>
      <w:r w:rsidR="00923BA6" w:rsidRPr="002617F5">
        <w:t>Karachi,</w:t>
      </w:r>
      <w:r w:rsidR="00266EE3" w:rsidRPr="002617F5">
        <w:t xml:space="preserve"> p</w:t>
      </w:r>
      <w:r w:rsidR="00D73C14" w:rsidRPr="002617F5">
        <w:t xml:space="preserve">. 17 </w:t>
      </w:r>
    </w:p>
    <w:p w:rsidR="00D73C14" w:rsidRPr="002617F5" w:rsidRDefault="00D73C14" w:rsidP="008F210A">
      <w:pPr>
        <w:ind w:left="2160" w:hanging="2160"/>
        <w:rPr>
          <w:sz w:val="20"/>
          <w:szCs w:val="20"/>
        </w:rPr>
      </w:pPr>
    </w:p>
    <w:p w:rsidR="00E2029A" w:rsidRPr="002617F5" w:rsidRDefault="004B1B78" w:rsidP="008F210A">
      <w:pPr>
        <w:ind w:left="2160" w:hanging="2160"/>
      </w:pPr>
      <w:r w:rsidRPr="002617F5">
        <w:t>Ahmed, N. (2006a)</w:t>
      </w:r>
      <w:r w:rsidR="000B626A" w:rsidRPr="002617F5">
        <w:t xml:space="preserve">. </w:t>
      </w:r>
      <w:r w:rsidRPr="002617F5">
        <w:t xml:space="preserve">HEC Policies: </w:t>
      </w:r>
      <w:r w:rsidR="00E2029A" w:rsidRPr="002617F5">
        <w:t xml:space="preserve">A </w:t>
      </w:r>
      <w:r w:rsidR="009143A1" w:rsidRPr="002617F5">
        <w:t>s</w:t>
      </w:r>
      <w:r w:rsidR="00E2029A" w:rsidRPr="002617F5">
        <w:t xml:space="preserve">cientific </w:t>
      </w:r>
      <w:r w:rsidR="009143A1" w:rsidRPr="002617F5">
        <w:t>a</w:t>
      </w:r>
      <w:r w:rsidR="00A809F7" w:rsidRPr="002617F5">
        <w:t>pproach</w:t>
      </w:r>
      <w:r w:rsidR="003922C7" w:rsidRPr="002617F5">
        <w:t xml:space="preserve"> </w:t>
      </w:r>
      <w:r w:rsidR="009143A1" w:rsidRPr="002617F5">
        <w:t>n</w:t>
      </w:r>
      <w:r w:rsidR="003922C7" w:rsidRPr="002617F5">
        <w:t>eeded.</w:t>
      </w:r>
      <w:r w:rsidR="009143A1" w:rsidRPr="002617F5">
        <w:t xml:space="preserve"> </w:t>
      </w:r>
      <w:r w:rsidR="00E2029A" w:rsidRPr="002617F5">
        <w:rPr>
          <w:i/>
        </w:rPr>
        <w:t>Dawn</w:t>
      </w:r>
      <w:r w:rsidR="009143A1" w:rsidRPr="002617F5">
        <w:rPr>
          <w:i/>
        </w:rPr>
        <w:t xml:space="preserve"> </w:t>
      </w:r>
      <w:r w:rsidR="00996869" w:rsidRPr="002617F5">
        <w:t>(Article).</w:t>
      </w:r>
      <w:r w:rsidR="009143A1" w:rsidRPr="002617F5">
        <w:t xml:space="preserve"> </w:t>
      </w:r>
      <w:r w:rsidR="00996869" w:rsidRPr="002617F5">
        <w:t>Karachi,</w:t>
      </w:r>
      <w:r w:rsidRPr="002617F5">
        <w:t xml:space="preserve"> p</w:t>
      </w:r>
      <w:r w:rsidR="00E2029A" w:rsidRPr="002617F5">
        <w:t xml:space="preserve">. 17 </w:t>
      </w:r>
    </w:p>
    <w:p w:rsidR="00E2029A" w:rsidRPr="002617F5" w:rsidRDefault="00E2029A" w:rsidP="008F210A">
      <w:pPr>
        <w:ind w:left="2160" w:hanging="2160"/>
        <w:rPr>
          <w:sz w:val="20"/>
          <w:szCs w:val="20"/>
        </w:rPr>
      </w:pPr>
    </w:p>
    <w:p w:rsidR="00E2029A" w:rsidRPr="002617F5" w:rsidRDefault="00922211" w:rsidP="008F210A">
      <w:pPr>
        <w:ind w:left="2160" w:hanging="2160"/>
      </w:pPr>
      <w:r w:rsidRPr="002617F5">
        <w:t>Ahmed,</w:t>
      </w:r>
      <w:r w:rsidR="00E2029A" w:rsidRPr="002617F5">
        <w:t xml:space="preserve"> N. (2006b)</w:t>
      </w:r>
      <w:r w:rsidR="000B626A" w:rsidRPr="002617F5">
        <w:t xml:space="preserve">. </w:t>
      </w:r>
      <w:r w:rsidR="00E2029A" w:rsidRPr="002617F5">
        <w:t>Ho</w:t>
      </w:r>
      <w:r w:rsidR="00630564" w:rsidRPr="002617F5">
        <w:t xml:space="preserve">w </w:t>
      </w:r>
      <w:r w:rsidR="009143A1" w:rsidRPr="002617F5">
        <w:t>n</w:t>
      </w:r>
      <w:r w:rsidR="00630564" w:rsidRPr="002617F5">
        <w:t xml:space="preserve">ot to </w:t>
      </w:r>
      <w:r w:rsidR="009143A1" w:rsidRPr="002617F5">
        <w:t>j</w:t>
      </w:r>
      <w:r w:rsidR="00630564" w:rsidRPr="002617F5">
        <w:t xml:space="preserve">udge the </w:t>
      </w:r>
      <w:r w:rsidR="009143A1" w:rsidRPr="002617F5">
        <w:t>u</w:t>
      </w:r>
      <w:r w:rsidR="00630564" w:rsidRPr="002617F5">
        <w:t>niversities.</w:t>
      </w:r>
      <w:r w:rsidR="009143A1" w:rsidRPr="002617F5">
        <w:t xml:space="preserve"> </w:t>
      </w:r>
      <w:r w:rsidR="00E2029A" w:rsidRPr="002617F5">
        <w:rPr>
          <w:i/>
        </w:rPr>
        <w:t>The</w:t>
      </w:r>
      <w:r w:rsidR="009143A1" w:rsidRPr="002617F5">
        <w:rPr>
          <w:i/>
        </w:rPr>
        <w:t xml:space="preserve"> </w:t>
      </w:r>
      <w:r w:rsidR="00E2029A" w:rsidRPr="002617F5">
        <w:rPr>
          <w:i/>
        </w:rPr>
        <w:t>News</w:t>
      </w:r>
      <w:r w:rsidR="009143A1" w:rsidRPr="002617F5">
        <w:rPr>
          <w:i/>
        </w:rPr>
        <w:t xml:space="preserve"> </w:t>
      </w:r>
      <w:r w:rsidR="00630564" w:rsidRPr="002617F5">
        <w:t>(Article).</w:t>
      </w:r>
      <w:r w:rsidR="009143A1" w:rsidRPr="002617F5">
        <w:t xml:space="preserve"> </w:t>
      </w:r>
      <w:r w:rsidR="00630564" w:rsidRPr="002617F5">
        <w:t>Karachi,</w:t>
      </w:r>
      <w:r w:rsidR="00E23946" w:rsidRPr="002617F5">
        <w:t xml:space="preserve"> p</w:t>
      </w:r>
      <w:r w:rsidR="00E2029A" w:rsidRPr="002617F5">
        <w:t>.</w:t>
      </w:r>
      <w:r w:rsidR="00E23946" w:rsidRPr="002617F5">
        <w:t xml:space="preserve">6 </w:t>
      </w:r>
    </w:p>
    <w:p w:rsidR="00E2029A" w:rsidRPr="002617F5" w:rsidRDefault="00E2029A" w:rsidP="008F210A">
      <w:pPr>
        <w:ind w:left="2160" w:hanging="2160"/>
        <w:rPr>
          <w:sz w:val="20"/>
          <w:szCs w:val="20"/>
        </w:rPr>
      </w:pPr>
    </w:p>
    <w:p w:rsidR="00E20493" w:rsidRPr="002617F5" w:rsidRDefault="00922211" w:rsidP="008F210A">
      <w:pPr>
        <w:ind w:left="2160" w:hanging="2160"/>
      </w:pPr>
      <w:r w:rsidRPr="002617F5">
        <w:t>Ahmed</w:t>
      </w:r>
      <w:r w:rsidR="009143A1" w:rsidRPr="002617F5">
        <w:t xml:space="preserve">, </w:t>
      </w:r>
      <w:r w:rsidR="00BD762B" w:rsidRPr="002617F5">
        <w:t>M.R</w:t>
      </w:r>
      <w:r w:rsidR="00E20493" w:rsidRPr="002617F5">
        <w:t>. (2004)</w:t>
      </w:r>
      <w:r w:rsidR="000B626A" w:rsidRPr="002617F5">
        <w:t xml:space="preserve">. </w:t>
      </w:r>
      <w:r w:rsidR="00E20493" w:rsidRPr="002617F5">
        <w:t>Social Impacts of HEC Polic</w:t>
      </w:r>
      <w:r w:rsidR="00E23946" w:rsidRPr="002617F5">
        <w:t>y Guidelines.</w:t>
      </w:r>
      <w:r w:rsidR="009143A1" w:rsidRPr="002617F5">
        <w:t xml:space="preserve"> </w:t>
      </w:r>
      <w:r w:rsidR="00E20493" w:rsidRPr="002617F5">
        <w:t>Interview</w:t>
      </w:r>
    </w:p>
    <w:p w:rsidR="00E20493" w:rsidRPr="002617F5" w:rsidRDefault="00E20493" w:rsidP="008F210A">
      <w:pPr>
        <w:ind w:left="2160" w:hanging="2160"/>
        <w:rPr>
          <w:sz w:val="20"/>
          <w:szCs w:val="20"/>
        </w:rPr>
      </w:pPr>
    </w:p>
    <w:p w:rsidR="00E2029A" w:rsidRPr="002617F5" w:rsidRDefault="00922211" w:rsidP="008F210A">
      <w:r w:rsidRPr="002617F5">
        <w:t>Ahmed,</w:t>
      </w:r>
      <w:r w:rsidR="00D45594" w:rsidRPr="002617F5">
        <w:t xml:space="preserve"> N. </w:t>
      </w:r>
      <w:r w:rsidR="00F73CEE" w:rsidRPr="002617F5">
        <w:t>(2004a)</w:t>
      </w:r>
      <w:r w:rsidR="000B626A" w:rsidRPr="002617F5">
        <w:t>.</w:t>
      </w:r>
      <w:r w:rsidR="009143A1" w:rsidRPr="002617F5">
        <w:t xml:space="preserve"> </w:t>
      </w:r>
      <w:r w:rsidR="00E2029A" w:rsidRPr="002617F5">
        <w:t xml:space="preserve">Increasing </w:t>
      </w:r>
      <w:r w:rsidR="004F0D2B" w:rsidRPr="002617F5">
        <w:t>r</w:t>
      </w:r>
      <w:r w:rsidR="00E2029A" w:rsidRPr="002617F5">
        <w:t>ed ta</w:t>
      </w:r>
      <w:r w:rsidR="00E23946" w:rsidRPr="002617F5">
        <w:t xml:space="preserve">pe in </w:t>
      </w:r>
      <w:r w:rsidR="004F0D2B" w:rsidRPr="002617F5">
        <w:t>u</w:t>
      </w:r>
      <w:r w:rsidR="00E23946" w:rsidRPr="002617F5">
        <w:t xml:space="preserve">niversity </w:t>
      </w:r>
      <w:r w:rsidR="004F0D2B" w:rsidRPr="002617F5">
        <w:t>a</w:t>
      </w:r>
      <w:r w:rsidR="00E23946" w:rsidRPr="002617F5">
        <w:t>dministration.</w:t>
      </w:r>
      <w:r w:rsidR="009143A1" w:rsidRPr="002617F5">
        <w:t xml:space="preserve"> </w:t>
      </w:r>
      <w:r w:rsidR="00E2029A" w:rsidRPr="002617F5">
        <w:rPr>
          <w:i/>
          <w:iCs/>
        </w:rPr>
        <w:t>The News</w:t>
      </w:r>
      <w:r w:rsidR="004F0D2B" w:rsidRPr="002617F5">
        <w:rPr>
          <w:i/>
          <w:iCs/>
        </w:rPr>
        <w:t xml:space="preserve"> </w:t>
      </w:r>
      <w:r w:rsidR="00F73CEE" w:rsidRPr="002617F5">
        <w:t>(Article)</w:t>
      </w:r>
      <w:r w:rsidRPr="002617F5">
        <w:t>.</w:t>
      </w:r>
      <w:r w:rsidR="000B626A" w:rsidRPr="002617F5">
        <w:tab/>
      </w:r>
      <w:r w:rsidR="00F73CEE" w:rsidRPr="002617F5">
        <w:t>Karachi, p</w:t>
      </w:r>
      <w:r w:rsidR="00E2029A" w:rsidRPr="002617F5">
        <w:t>. 6</w:t>
      </w:r>
    </w:p>
    <w:p w:rsidR="00E2029A" w:rsidRPr="002617F5" w:rsidRDefault="00E2029A" w:rsidP="008F210A">
      <w:pPr>
        <w:ind w:left="2160" w:hanging="2160"/>
        <w:rPr>
          <w:sz w:val="20"/>
          <w:szCs w:val="20"/>
        </w:rPr>
      </w:pPr>
    </w:p>
    <w:p w:rsidR="00E2029A" w:rsidRPr="002617F5" w:rsidRDefault="00D45594" w:rsidP="008F210A">
      <w:pPr>
        <w:ind w:left="2160" w:hanging="2160"/>
      </w:pPr>
      <w:r w:rsidRPr="002617F5">
        <w:t xml:space="preserve">Ahmed, N. </w:t>
      </w:r>
      <w:r w:rsidR="00E2029A" w:rsidRPr="002617F5">
        <w:t>(2004b)</w:t>
      </w:r>
      <w:r w:rsidR="000B626A" w:rsidRPr="002617F5">
        <w:t xml:space="preserve">. </w:t>
      </w:r>
      <w:r w:rsidR="00E2029A" w:rsidRPr="002617F5">
        <w:t>D</w:t>
      </w:r>
      <w:r w:rsidR="00922211" w:rsidRPr="002617F5">
        <w:t xml:space="preserve">ealing with </w:t>
      </w:r>
      <w:r w:rsidR="004F0D2B" w:rsidRPr="002617F5">
        <w:t>v</w:t>
      </w:r>
      <w:r w:rsidR="00922211" w:rsidRPr="002617F5">
        <w:t xml:space="preserve">iolence on </w:t>
      </w:r>
      <w:r w:rsidR="004F0D2B" w:rsidRPr="002617F5">
        <w:t>c</w:t>
      </w:r>
      <w:r w:rsidR="00922211" w:rsidRPr="002617F5">
        <w:t>ampus.</w:t>
      </w:r>
      <w:r w:rsidR="009143A1" w:rsidRPr="002617F5">
        <w:t xml:space="preserve"> </w:t>
      </w:r>
      <w:r w:rsidR="00E2029A" w:rsidRPr="002617F5">
        <w:rPr>
          <w:i/>
        </w:rPr>
        <w:t>Dawn</w:t>
      </w:r>
      <w:r w:rsidR="009143A1" w:rsidRPr="002617F5">
        <w:rPr>
          <w:i/>
        </w:rPr>
        <w:t xml:space="preserve"> </w:t>
      </w:r>
      <w:r w:rsidR="00922211" w:rsidRPr="002617F5">
        <w:t>(Article).</w:t>
      </w:r>
      <w:r w:rsidR="009143A1" w:rsidRPr="002617F5">
        <w:t xml:space="preserve"> </w:t>
      </w:r>
      <w:r w:rsidR="00922211" w:rsidRPr="002617F5">
        <w:t xml:space="preserve">Karachi, </w:t>
      </w:r>
      <w:r w:rsidR="00E2029A" w:rsidRPr="002617F5">
        <w:t xml:space="preserve">p. 17 </w:t>
      </w:r>
    </w:p>
    <w:p w:rsidR="00E2029A" w:rsidRPr="002617F5" w:rsidRDefault="00E2029A" w:rsidP="008F210A">
      <w:pPr>
        <w:ind w:left="2160" w:hanging="2160"/>
        <w:rPr>
          <w:sz w:val="20"/>
          <w:szCs w:val="20"/>
        </w:rPr>
      </w:pPr>
    </w:p>
    <w:p w:rsidR="00D357E3" w:rsidRPr="002617F5" w:rsidRDefault="00D45594" w:rsidP="008F210A">
      <w:r w:rsidRPr="002617F5">
        <w:t xml:space="preserve">Ahmed, N. </w:t>
      </w:r>
      <w:r w:rsidR="00E2029A" w:rsidRPr="002617F5">
        <w:t>(2003)</w:t>
      </w:r>
      <w:r w:rsidR="000B626A" w:rsidRPr="002617F5">
        <w:t xml:space="preserve">. </w:t>
      </w:r>
      <w:r w:rsidR="00E2029A" w:rsidRPr="002617F5">
        <w:t xml:space="preserve">Time to </w:t>
      </w:r>
      <w:r w:rsidR="004F0D2B" w:rsidRPr="002617F5">
        <w:t>o</w:t>
      </w:r>
      <w:r w:rsidR="00E2029A" w:rsidRPr="002617F5">
        <w:t xml:space="preserve">penly </w:t>
      </w:r>
      <w:r w:rsidR="004F0D2B" w:rsidRPr="002617F5">
        <w:t>d</w:t>
      </w:r>
      <w:r w:rsidR="00E2029A" w:rsidRPr="002617F5">
        <w:t>ebate the Model University</w:t>
      </w:r>
      <w:r w:rsidR="00FC38E6" w:rsidRPr="002617F5">
        <w:t xml:space="preserve"> Ordinance,</w:t>
      </w:r>
      <w:r w:rsidR="001810AB" w:rsidRPr="002617F5">
        <w:t xml:space="preserve"> </w:t>
      </w:r>
      <w:r w:rsidR="00E2029A" w:rsidRPr="002617F5">
        <w:rPr>
          <w:i/>
        </w:rPr>
        <w:t>Dawn</w:t>
      </w:r>
      <w:r w:rsidR="001810AB" w:rsidRPr="002617F5">
        <w:rPr>
          <w:i/>
        </w:rPr>
        <w:t xml:space="preserve"> </w:t>
      </w:r>
      <w:r w:rsidR="00FC38E6" w:rsidRPr="002617F5">
        <w:t>(Article).</w:t>
      </w:r>
      <w:r w:rsidR="000B626A" w:rsidRPr="002617F5">
        <w:tab/>
      </w:r>
      <w:r w:rsidR="00FC38E6" w:rsidRPr="002617F5">
        <w:t>Karachi, p. 17</w:t>
      </w:r>
    </w:p>
    <w:p w:rsidR="00E2029A" w:rsidRPr="002617F5" w:rsidRDefault="00E2029A" w:rsidP="008F210A">
      <w:pPr>
        <w:ind w:left="2160" w:hanging="2160"/>
      </w:pPr>
    </w:p>
    <w:p w:rsidR="00994184" w:rsidRPr="002617F5" w:rsidRDefault="009537E8" w:rsidP="008F210A">
      <w:pPr>
        <w:ind w:left="2160" w:hanging="2160"/>
      </w:pPr>
      <w:r w:rsidRPr="002617F5">
        <w:t>Ahmed</w:t>
      </w:r>
      <w:r w:rsidR="000B626A" w:rsidRPr="002617F5">
        <w:t>.</w:t>
      </w:r>
      <w:r w:rsidR="001810AB" w:rsidRPr="002617F5">
        <w:t xml:space="preserve"> N.</w:t>
      </w:r>
      <w:r w:rsidRPr="002617F5">
        <w:t xml:space="preserve"> (2002a)</w:t>
      </w:r>
      <w:r w:rsidR="000B626A" w:rsidRPr="002617F5">
        <w:t xml:space="preserve">. </w:t>
      </w:r>
      <w:r w:rsidRPr="002617F5">
        <w:t xml:space="preserve">Reforms, </w:t>
      </w:r>
      <w:r w:rsidR="004F0D2B" w:rsidRPr="002617F5">
        <w:t>n</w:t>
      </w:r>
      <w:r w:rsidRPr="002617F5">
        <w:t xml:space="preserve">ot </w:t>
      </w:r>
      <w:r w:rsidR="004F0D2B" w:rsidRPr="002617F5">
        <w:t>r</w:t>
      </w:r>
      <w:r w:rsidRPr="002617F5">
        <w:t xml:space="preserve">ejection </w:t>
      </w:r>
      <w:r w:rsidR="004F0D2B" w:rsidRPr="002617F5">
        <w:t>n</w:t>
      </w:r>
      <w:r w:rsidRPr="002617F5">
        <w:t>eeded.</w:t>
      </w:r>
      <w:r w:rsidR="001810AB" w:rsidRPr="002617F5">
        <w:t xml:space="preserve"> </w:t>
      </w:r>
      <w:r w:rsidR="00994184" w:rsidRPr="002617F5">
        <w:rPr>
          <w:i/>
        </w:rPr>
        <w:t>Dawn</w:t>
      </w:r>
      <w:r w:rsidR="001810AB" w:rsidRPr="002617F5">
        <w:rPr>
          <w:i/>
        </w:rPr>
        <w:t xml:space="preserve"> </w:t>
      </w:r>
      <w:r w:rsidRPr="002617F5">
        <w:t>(Article).Karachi</w:t>
      </w:r>
      <w:r w:rsidR="00140080" w:rsidRPr="002617F5">
        <w:t>, p. 17</w:t>
      </w:r>
    </w:p>
    <w:p w:rsidR="00BD762B" w:rsidRPr="002617F5" w:rsidRDefault="00BD762B" w:rsidP="008F210A">
      <w:pPr>
        <w:ind w:left="2160" w:hanging="2160"/>
        <w:rPr>
          <w:sz w:val="20"/>
          <w:szCs w:val="20"/>
        </w:rPr>
      </w:pPr>
    </w:p>
    <w:p w:rsidR="00994184" w:rsidRPr="002617F5" w:rsidRDefault="00D45594" w:rsidP="008F210A">
      <w:pPr>
        <w:ind w:left="2160" w:hanging="2160"/>
      </w:pPr>
      <w:r w:rsidRPr="002617F5">
        <w:t xml:space="preserve">Ahmed, N. </w:t>
      </w:r>
      <w:r w:rsidR="00E2029A" w:rsidRPr="002617F5">
        <w:t>(2002b)</w:t>
      </w:r>
      <w:r w:rsidR="000B626A" w:rsidRPr="002617F5">
        <w:t xml:space="preserve">. </w:t>
      </w:r>
      <w:r w:rsidR="00674711" w:rsidRPr="002617F5">
        <w:t xml:space="preserve">Why </w:t>
      </w:r>
      <w:r w:rsidR="004F0D2B" w:rsidRPr="002617F5">
        <w:t>s</w:t>
      </w:r>
      <w:r w:rsidR="00674711" w:rsidRPr="002617F5">
        <w:t xml:space="preserve">hould </w:t>
      </w:r>
      <w:r w:rsidR="004F0D2B" w:rsidRPr="002617F5">
        <w:t>o</w:t>
      </w:r>
      <w:r w:rsidR="00674711" w:rsidRPr="002617F5">
        <w:t xml:space="preserve">thers </w:t>
      </w:r>
      <w:r w:rsidR="004F0D2B" w:rsidRPr="002617F5">
        <w:t>d</w:t>
      </w:r>
      <w:r w:rsidR="00674711" w:rsidRPr="002617F5">
        <w:t xml:space="preserve">ecide for </w:t>
      </w:r>
      <w:r w:rsidR="004F0D2B" w:rsidRPr="002617F5">
        <w:t>u</w:t>
      </w:r>
      <w:r w:rsidR="00674711" w:rsidRPr="002617F5">
        <w:t>s?</w:t>
      </w:r>
      <w:r w:rsidR="001810AB" w:rsidRPr="002617F5">
        <w:t xml:space="preserve"> </w:t>
      </w:r>
      <w:r w:rsidR="00674711" w:rsidRPr="002617F5">
        <w:rPr>
          <w:i/>
        </w:rPr>
        <w:t>Dawn</w:t>
      </w:r>
      <w:r w:rsidR="001810AB" w:rsidRPr="002617F5">
        <w:rPr>
          <w:i/>
        </w:rPr>
        <w:t xml:space="preserve"> </w:t>
      </w:r>
      <w:r w:rsidR="00DE495D" w:rsidRPr="002617F5">
        <w:t>(Article). Karachi,</w:t>
      </w:r>
      <w:r w:rsidR="004F0D2B" w:rsidRPr="002617F5">
        <w:t xml:space="preserve"> </w:t>
      </w:r>
      <w:r w:rsidR="00674711" w:rsidRPr="002617F5">
        <w:t>p.17</w:t>
      </w:r>
    </w:p>
    <w:p w:rsidR="00E2029A" w:rsidRPr="002617F5" w:rsidRDefault="00E2029A" w:rsidP="008F210A">
      <w:pPr>
        <w:ind w:left="2160" w:hanging="2160"/>
        <w:rPr>
          <w:sz w:val="20"/>
          <w:szCs w:val="20"/>
        </w:rPr>
      </w:pPr>
    </w:p>
    <w:p w:rsidR="00E2029A" w:rsidRPr="002617F5" w:rsidRDefault="00D45594" w:rsidP="008F210A">
      <w:pPr>
        <w:ind w:left="2160" w:hanging="2160"/>
      </w:pPr>
      <w:r w:rsidRPr="002617F5">
        <w:t xml:space="preserve">Ahmed, N. </w:t>
      </w:r>
      <w:r w:rsidR="00E2029A" w:rsidRPr="002617F5">
        <w:t>(2002c)</w:t>
      </w:r>
      <w:r w:rsidR="000B626A" w:rsidRPr="002617F5">
        <w:t xml:space="preserve">. </w:t>
      </w:r>
      <w:r w:rsidR="00E2029A" w:rsidRPr="002617F5">
        <w:t>Task Force: Anot</w:t>
      </w:r>
      <w:r w:rsidR="004F0D2B" w:rsidRPr="002617F5">
        <w:t>her s</w:t>
      </w:r>
      <w:r w:rsidR="00674711" w:rsidRPr="002617F5">
        <w:t>o</w:t>
      </w:r>
      <w:r w:rsidR="00770004" w:rsidRPr="002617F5">
        <w:t xml:space="preserve">cial </w:t>
      </w:r>
      <w:r w:rsidR="004F0D2B" w:rsidRPr="002617F5">
        <w:t>d</w:t>
      </w:r>
      <w:r w:rsidR="00770004" w:rsidRPr="002617F5">
        <w:t>isaster.</w:t>
      </w:r>
      <w:r w:rsidR="001810AB" w:rsidRPr="002617F5">
        <w:t xml:space="preserve"> </w:t>
      </w:r>
      <w:r w:rsidR="00674711" w:rsidRPr="002617F5">
        <w:rPr>
          <w:i/>
        </w:rPr>
        <w:t>Dawn</w:t>
      </w:r>
      <w:r w:rsidR="004F0D2B" w:rsidRPr="002617F5">
        <w:rPr>
          <w:i/>
        </w:rPr>
        <w:t xml:space="preserve"> </w:t>
      </w:r>
      <w:r w:rsidR="00674711" w:rsidRPr="002617F5">
        <w:t>(Article).Karachi, p. 17</w:t>
      </w:r>
    </w:p>
    <w:p w:rsidR="008C66C8" w:rsidRPr="002617F5" w:rsidRDefault="008C66C8" w:rsidP="008F210A">
      <w:pPr>
        <w:ind w:left="2160" w:hanging="2160"/>
        <w:rPr>
          <w:sz w:val="20"/>
          <w:szCs w:val="20"/>
        </w:rPr>
      </w:pPr>
    </w:p>
    <w:p w:rsidR="00E2029A" w:rsidRPr="002617F5" w:rsidRDefault="00D45594" w:rsidP="008F210A">
      <w:pPr>
        <w:ind w:left="2160" w:hanging="2160"/>
      </w:pPr>
      <w:r w:rsidRPr="002617F5">
        <w:t xml:space="preserve">Ahmed, N. </w:t>
      </w:r>
      <w:r w:rsidR="00E2029A" w:rsidRPr="002617F5">
        <w:t>(2002d</w:t>
      </w:r>
      <w:r w:rsidR="00674711" w:rsidRPr="002617F5">
        <w:t>)</w:t>
      </w:r>
      <w:r w:rsidR="000B626A" w:rsidRPr="002617F5">
        <w:t xml:space="preserve">. </w:t>
      </w:r>
      <w:r w:rsidR="00674711" w:rsidRPr="002617F5">
        <w:t xml:space="preserve">Research: Of </w:t>
      </w:r>
      <w:r w:rsidR="004F0D2B" w:rsidRPr="002617F5">
        <w:t>a</w:t>
      </w:r>
      <w:r w:rsidR="00674711" w:rsidRPr="002617F5">
        <w:t xml:space="preserve">ppropriate </w:t>
      </w:r>
      <w:r w:rsidR="004F0D2B" w:rsidRPr="002617F5">
        <w:t>k</w:t>
      </w:r>
      <w:r w:rsidR="00674711" w:rsidRPr="002617F5">
        <w:t xml:space="preserve">ind. </w:t>
      </w:r>
      <w:r w:rsidR="00E2029A" w:rsidRPr="002617F5">
        <w:rPr>
          <w:i/>
        </w:rPr>
        <w:t>Dawn</w:t>
      </w:r>
      <w:r w:rsidR="004F0D2B" w:rsidRPr="002617F5">
        <w:rPr>
          <w:i/>
        </w:rPr>
        <w:t xml:space="preserve"> </w:t>
      </w:r>
      <w:r w:rsidR="00674711" w:rsidRPr="002617F5">
        <w:t>(Article).Karachi,</w:t>
      </w:r>
      <w:r w:rsidR="001810AB" w:rsidRPr="002617F5">
        <w:t xml:space="preserve"> </w:t>
      </w:r>
      <w:r w:rsidR="00674711" w:rsidRPr="002617F5">
        <w:t xml:space="preserve">p. 17 </w:t>
      </w:r>
    </w:p>
    <w:p w:rsidR="00E2029A" w:rsidRPr="002617F5" w:rsidRDefault="00E2029A" w:rsidP="008F210A">
      <w:pPr>
        <w:ind w:left="2160" w:hanging="2160"/>
        <w:rPr>
          <w:sz w:val="20"/>
          <w:szCs w:val="20"/>
        </w:rPr>
      </w:pPr>
    </w:p>
    <w:p w:rsidR="00311D3B" w:rsidRPr="002617F5" w:rsidRDefault="00311D3B" w:rsidP="008F210A">
      <w:r w:rsidRPr="002617F5">
        <w:t>Boston Group</w:t>
      </w:r>
      <w:r w:rsidR="00AA3610" w:rsidRPr="002617F5">
        <w:t>.</w:t>
      </w:r>
      <w:r w:rsidRPr="002617F5">
        <w:t xml:space="preserve"> (2001)</w:t>
      </w:r>
      <w:r w:rsidR="00AA3610" w:rsidRPr="002617F5">
        <w:t xml:space="preserve">. </w:t>
      </w:r>
      <w:r w:rsidRPr="002617F5">
        <w:t>Higher Education in Pa</w:t>
      </w:r>
      <w:r w:rsidR="004F0D2B" w:rsidRPr="002617F5">
        <w:t>kistan: Towards a r</w:t>
      </w:r>
      <w:r w:rsidR="00F57343" w:rsidRPr="002617F5">
        <w:t xml:space="preserve">eform </w:t>
      </w:r>
      <w:r w:rsidR="004F0D2B" w:rsidRPr="002617F5">
        <w:t>a</w:t>
      </w:r>
      <w:r w:rsidR="00F57343" w:rsidRPr="002617F5">
        <w:t>genda</w:t>
      </w:r>
      <w:r w:rsidR="004F0D2B" w:rsidRPr="002617F5">
        <w:t xml:space="preserve"> </w:t>
      </w:r>
      <w:r w:rsidR="00F57343" w:rsidRPr="002617F5">
        <w:t>(</w:t>
      </w:r>
      <w:r w:rsidRPr="002617F5">
        <w:t>Report</w:t>
      </w:r>
      <w:r w:rsidR="00AA3610" w:rsidRPr="002617F5">
        <w:t>)</w:t>
      </w:r>
      <w:r w:rsidR="00F57343" w:rsidRPr="002617F5">
        <w:rPr>
          <w:i/>
        </w:rPr>
        <w:t>.</w:t>
      </w:r>
      <w:r w:rsidR="00AA3610" w:rsidRPr="002617F5">
        <w:rPr>
          <w:i/>
        </w:rPr>
        <w:tab/>
      </w:r>
      <w:r w:rsidR="00F57343" w:rsidRPr="002617F5">
        <w:t xml:space="preserve">Islamabad, </w:t>
      </w:r>
      <w:r w:rsidRPr="002617F5">
        <w:rPr>
          <w:i/>
        </w:rPr>
        <w:t>Task</w:t>
      </w:r>
      <w:r w:rsidR="00952A11" w:rsidRPr="002617F5">
        <w:rPr>
          <w:i/>
        </w:rPr>
        <w:t xml:space="preserve"> </w:t>
      </w:r>
      <w:r w:rsidRPr="002617F5">
        <w:rPr>
          <w:i/>
        </w:rPr>
        <w:t>Force</w:t>
      </w:r>
      <w:r w:rsidR="00952A11" w:rsidRPr="002617F5">
        <w:rPr>
          <w:i/>
        </w:rPr>
        <w:t xml:space="preserve"> </w:t>
      </w:r>
      <w:r w:rsidRPr="002617F5">
        <w:rPr>
          <w:i/>
        </w:rPr>
        <w:t>on</w:t>
      </w:r>
      <w:r w:rsidR="00952A11" w:rsidRPr="002617F5">
        <w:rPr>
          <w:i/>
        </w:rPr>
        <w:t xml:space="preserve"> </w:t>
      </w:r>
      <w:r w:rsidRPr="002617F5">
        <w:rPr>
          <w:i/>
        </w:rPr>
        <w:t>Improvement</w:t>
      </w:r>
      <w:r w:rsidR="00952A11" w:rsidRPr="002617F5">
        <w:rPr>
          <w:i/>
        </w:rPr>
        <w:t xml:space="preserve"> </w:t>
      </w:r>
      <w:r w:rsidRPr="002617F5">
        <w:rPr>
          <w:i/>
        </w:rPr>
        <w:t>of</w:t>
      </w:r>
      <w:r w:rsidR="00952A11" w:rsidRPr="002617F5">
        <w:rPr>
          <w:i/>
        </w:rPr>
        <w:t xml:space="preserve"> </w:t>
      </w:r>
      <w:r w:rsidRPr="002617F5">
        <w:rPr>
          <w:i/>
        </w:rPr>
        <w:t>Higher</w:t>
      </w:r>
      <w:r w:rsidR="00952A11" w:rsidRPr="002617F5">
        <w:rPr>
          <w:i/>
        </w:rPr>
        <w:t xml:space="preserve"> </w:t>
      </w:r>
      <w:r w:rsidRPr="002617F5">
        <w:rPr>
          <w:i/>
        </w:rPr>
        <w:t>Education</w:t>
      </w:r>
      <w:r w:rsidRPr="002617F5">
        <w:t xml:space="preserve">. </w:t>
      </w:r>
    </w:p>
    <w:p w:rsidR="00311D3B" w:rsidRPr="002617F5" w:rsidRDefault="00311D3B" w:rsidP="008F210A">
      <w:pPr>
        <w:ind w:left="2160" w:hanging="2160"/>
        <w:rPr>
          <w:sz w:val="22"/>
          <w:szCs w:val="22"/>
        </w:rPr>
      </w:pPr>
    </w:p>
    <w:p w:rsidR="001426C6" w:rsidRPr="002617F5" w:rsidRDefault="00AA3610" w:rsidP="008F210A">
      <w:r w:rsidRPr="002617F5">
        <w:t xml:space="preserve">GoP. </w:t>
      </w:r>
      <w:r w:rsidR="001426C6" w:rsidRPr="002617F5">
        <w:t>(2002)</w:t>
      </w:r>
      <w:r w:rsidRPr="002617F5">
        <w:t xml:space="preserve">. </w:t>
      </w:r>
      <w:r w:rsidR="001426C6" w:rsidRPr="002617F5">
        <w:t xml:space="preserve">Task Force on </w:t>
      </w:r>
      <w:r w:rsidR="00952A11" w:rsidRPr="002617F5">
        <w:t>i</w:t>
      </w:r>
      <w:r w:rsidR="001426C6" w:rsidRPr="002617F5">
        <w:t>mprovement of Higher Education in Pakistan</w:t>
      </w:r>
      <w:r w:rsidR="00952A11" w:rsidRPr="002617F5">
        <w:t xml:space="preserve"> </w:t>
      </w:r>
      <w:r w:rsidR="00F57343" w:rsidRPr="002617F5">
        <w:t>(Final Report).</w:t>
      </w:r>
      <w:r w:rsidRPr="002617F5">
        <w:tab/>
      </w:r>
      <w:r w:rsidR="00F57343" w:rsidRPr="002617F5">
        <w:t>Islamabad,</w:t>
      </w:r>
      <w:r w:rsidR="00952A11" w:rsidRPr="002617F5">
        <w:t xml:space="preserve"> </w:t>
      </w:r>
      <w:r w:rsidR="001426C6" w:rsidRPr="002617F5">
        <w:rPr>
          <w:i/>
        </w:rPr>
        <w:t>Ministry</w:t>
      </w:r>
      <w:r w:rsidR="00952A11" w:rsidRPr="002617F5">
        <w:rPr>
          <w:i/>
        </w:rPr>
        <w:t xml:space="preserve"> </w:t>
      </w:r>
      <w:r w:rsidR="001426C6" w:rsidRPr="002617F5">
        <w:rPr>
          <w:i/>
        </w:rPr>
        <w:t>of</w:t>
      </w:r>
      <w:r w:rsidR="00952A11" w:rsidRPr="002617F5">
        <w:rPr>
          <w:i/>
        </w:rPr>
        <w:t xml:space="preserve"> </w:t>
      </w:r>
      <w:r w:rsidR="001426C6" w:rsidRPr="002617F5">
        <w:rPr>
          <w:i/>
        </w:rPr>
        <w:t>Education</w:t>
      </w:r>
      <w:r w:rsidR="001426C6" w:rsidRPr="002617F5">
        <w:t xml:space="preserve">, </w:t>
      </w:r>
      <w:r w:rsidR="001426C6" w:rsidRPr="002617F5">
        <w:rPr>
          <w:i/>
        </w:rPr>
        <w:t>Government</w:t>
      </w:r>
      <w:r w:rsidR="00952A11" w:rsidRPr="002617F5">
        <w:rPr>
          <w:i/>
        </w:rPr>
        <w:t xml:space="preserve"> </w:t>
      </w:r>
      <w:r w:rsidR="001426C6" w:rsidRPr="002617F5">
        <w:rPr>
          <w:i/>
        </w:rPr>
        <w:t>of</w:t>
      </w:r>
      <w:r w:rsidR="00952A11" w:rsidRPr="002617F5">
        <w:rPr>
          <w:i/>
        </w:rPr>
        <w:t xml:space="preserve"> </w:t>
      </w:r>
      <w:r w:rsidR="001426C6" w:rsidRPr="002617F5">
        <w:rPr>
          <w:i/>
        </w:rPr>
        <w:t>Pakistan</w:t>
      </w:r>
      <w:r w:rsidR="00F57343" w:rsidRPr="002617F5">
        <w:t>.</w:t>
      </w:r>
    </w:p>
    <w:p w:rsidR="001426C6" w:rsidRPr="002617F5" w:rsidRDefault="001426C6" w:rsidP="008F210A">
      <w:pPr>
        <w:ind w:left="1440" w:hanging="1440"/>
        <w:rPr>
          <w:sz w:val="20"/>
          <w:szCs w:val="20"/>
        </w:rPr>
      </w:pPr>
    </w:p>
    <w:p w:rsidR="001426C6" w:rsidRPr="002617F5" w:rsidRDefault="001426C6" w:rsidP="008F210A">
      <w:r w:rsidRPr="002617F5">
        <w:t>GoP</w:t>
      </w:r>
      <w:r w:rsidR="00AA3610" w:rsidRPr="002617F5">
        <w:t>.</w:t>
      </w:r>
      <w:r w:rsidRPr="002617F5">
        <w:t xml:space="preserve"> (2002a)</w:t>
      </w:r>
      <w:r w:rsidR="00AA3610" w:rsidRPr="002617F5">
        <w:t xml:space="preserve">. </w:t>
      </w:r>
      <w:r w:rsidRPr="002617F5">
        <w:t>Aga Khan University</w:t>
      </w:r>
      <w:r w:rsidR="00F57343" w:rsidRPr="002617F5">
        <w:t xml:space="preserve"> Examination Board Ordinance</w:t>
      </w:r>
      <w:r w:rsidR="00952A11" w:rsidRPr="002617F5">
        <w:t xml:space="preserve"> </w:t>
      </w:r>
      <w:r w:rsidR="00F57343" w:rsidRPr="002617F5">
        <w:t>(Gazette Notification).</w:t>
      </w:r>
      <w:r w:rsidR="00AA3610" w:rsidRPr="002617F5">
        <w:tab/>
      </w:r>
      <w:r w:rsidRPr="002617F5">
        <w:t xml:space="preserve">Islamabad </w:t>
      </w:r>
    </w:p>
    <w:p w:rsidR="001426C6" w:rsidRPr="002617F5" w:rsidRDefault="001426C6" w:rsidP="008F210A">
      <w:pPr>
        <w:ind w:left="2160" w:hanging="2160"/>
        <w:rPr>
          <w:sz w:val="20"/>
          <w:szCs w:val="20"/>
        </w:rPr>
      </w:pPr>
    </w:p>
    <w:p w:rsidR="001426C6" w:rsidRPr="002617F5" w:rsidRDefault="001426C6" w:rsidP="008F210A">
      <w:r w:rsidRPr="002617F5">
        <w:t>GoP</w:t>
      </w:r>
      <w:r w:rsidR="00AA3610" w:rsidRPr="002617F5">
        <w:t>.</w:t>
      </w:r>
      <w:r w:rsidRPr="002617F5">
        <w:t xml:space="preserve"> (2002</w:t>
      </w:r>
      <w:r w:rsidR="00F57343" w:rsidRPr="002617F5">
        <w:t>b)</w:t>
      </w:r>
      <w:r w:rsidR="00AA3610" w:rsidRPr="002617F5">
        <w:t xml:space="preserve">. </w:t>
      </w:r>
      <w:r w:rsidR="00F57343" w:rsidRPr="002617F5">
        <w:t>Model Universities Ordinance</w:t>
      </w:r>
      <w:r w:rsidR="00952A11" w:rsidRPr="002617F5">
        <w:t xml:space="preserve"> </w:t>
      </w:r>
      <w:r w:rsidR="00F57343" w:rsidRPr="002617F5">
        <w:t>(Draft Final Report).Islamabad</w:t>
      </w:r>
      <w:r w:rsidR="00FC7F48" w:rsidRPr="002617F5">
        <w:t>,</w:t>
      </w:r>
      <w:r w:rsidR="00952A11" w:rsidRPr="002617F5">
        <w:t xml:space="preserve"> </w:t>
      </w:r>
      <w:r w:rsidR="00A809F7" w:rsidRPr="002617F5">
        <w:rPr>
          <w:i/>
        </w:rPr>
        <w:t>Government</w:t>
      </w:r>
      <w:r w:rsidR="00952A11" w:rsidRPr="002617F5">
        <w:rPr>
          <w:i/>
        </w:rPr>
        <w:t xml:space="preserve"> </w:t>
      </w:r>
      <w:r w:rsidRPr="002617F5">
        <w:rPr>
          <w:i/>
        </w:rPr>
        <w:t>of</w:t>
      </w:r>
      <w:r w:rsidR="00AA3610" w:rsidRPr="002617F5">
        <w:rPr>
          <w:i/>
        </w:rPr>
        <w:tab/>
      </w:r>
      <w:r w:rsidR="00FC7F48" w:rsidRPr="002617F5">
        <w:rPr>
          <w:i/>
        </w:rPr>
        <w:t>Pakistan</w:t>
      </w:r>
      <w:r w:rsidRPr="002617F5">
        <w:t xml:space="preserve">, Islamabad. </w:t>
      </w:r>
    </w:p>
    <w:p w:rsidR="00EB7C03" w:rsidRPr="002617F5" w:rsidRDefault="00EB7C03" w:rsidP="008F210A">
      <w:pPr>
        <w:ind w:left="2160" w:hanging="2160"/>
        <w:rPr>
          <w:sz w:val="20"/>
          <w:szCs w:val="20"/>
        </w:rPr>
      </w:pPr>
    </w:p>
    <w:p w:rsidR="00EB7C03" w:rsidRPr="002617F5" w:rsidRDefault="00EB7C03" w:rsidP="008F210A">
      <w:r w:rsidRPr="002617F5">
        <w:t>GoP</w:t>
      </w:r>
      <w:r w:rsidR="00AA3610" w:rsidRPr="002617F5">
        <w:t>.</w:t>
      </w:r>
      <w:r w:rsidRPr="002617F5">
        <w:t xml:space="preserve"> (2</w:t>
      </w:r>
      <w:r w:rsidR="00D357E3" w:rsidRPr="002617F5">
        <w:t>002c)</w:t>
      </w:r>
      <w:r w:rsidR="00AA3610" w:rsidRPr="002617F5">
        <w:t>.</w:t>
      </w:r>
      <w:r w:rsidR="00FC7F48" w:rsidRPr="002617F5">
        <w:t>National Education Policy</w:t>
      </w:r>
      <w:r w:rsidR="00952A11" w:rsidRPr="002617F5">
        <w:t xml:space="preserve"> </w:t>
      </w:r>
      <w:r w:rsidR="00FC7F48" w:rsidRPr="002617F5">
        <w:t>(Final Draft Report).Islamabad,</w:t>
      </w:r>
      <w:r w:rsidR="00952A11" w:rsidRPr="002617F5">
        <w:t xml:space="preserve"> </w:t>
      </w:r>
      <w:r w:rsidRPr="002617F5">
        <w:rPr>
          <w:i/>
        </w:rPr>
        <w:t>Government</w:t>
      </w:r>
      <w:r w:rsidR="00952A11" w:rsidRPr="002617F5">
        <w:rPr>
          <w:i/>
        </w:rPr>
        <w:t xml:space="preserve"> </w:t>
      </w:r>
      <w:r w:rsidRPr="002617F5">
        <w:rPr>
          <w:i/>
        </w:rPr>
        <w:t>of</w:t>
      </w:r>
      <w:r w:rsidR="00AA3610" w:rsidRPr="002617F5">
        <w:rPr>
          <w:i/>
        </w:rPr>
        <w:tab/>
      </w:r>
      <w:r w:rsidRPr="002617F5">
        <w:rPr>
          <w:i/>
        </w:rPr>
        <w:t>Pakistan</w:t>
      </w:r>
    </w:p>
    <w:p w:rsidR="001426C6" w:rsidRPr="002617F5" w:rsidRDefault="001426C6" w:rsidP="008F210A">
      <w:pPr>
        <w:ind w:left="2160" w:hanging="2160"/>
        <w:rPr>
          <w:sz w:val="20"/>
          <w:szCs w:val="20"/>
        </w:rPr>
      </w:pPr>
    </w:p>
    <w:p w:rsidR="00E20493" w:rsidRPr="002617F5" w:rsidRDefault="00E20493" w:rsidP="008F210A">
      <w:r w:rsidRPr="002617F5">
        <w:t>GoP</w:t>
      </w:r>
      <w:r w:rsidR="00AA3610" w:rsidRPr="002617F5">
        <w:t>.</w:t>
      </w:r>
      <w:r w:rsidRPr="002617F5">
        <w:t xml:space="preserve"> (2001)</w:t>
      </w:r>
      <w:r w:rsidR="00AA3610" w:rsidRPr="002617F5">
        <w:t xml:space="preserve">. </w:t>
      </w:r>
      <w:r w:rsidRPr="002617F5">
        <w:t xml:space="preserve">Higher Education in Pakistan: </w:t>
      </w:r>
      <w:r w:rsidR="00A809F7" w:rsidRPr="002617F5">
        <w:t>Towards</w:t>
      </w:r>
      <w:r w:rsidR="00F57343" w:rsidRPr="002617F5">
        <w:t xml:space="preserve"> a Reform Agenda</w:t>
      </w:r>
      <w:r w:rsidR="00952A11" w:rsidRPr="002617F5">
        <w:t xml:space="preserve"> </w:t>
      </w:r>
      <w:r w:rsidR="00681DE7" w:rsidRPr="002617F5">
        <w:t>(Report).</w:t>
      </w:r>
      <w:r w:rsidRPr="002617F5">
        <w:rPr>
          <w:i/>
        </w:rPr>
        <w:t>The</w:t>
      </w:r>
      <w:r w:rsidR="00952A11" w:rsidRPr="002617F5">
        <w:rPr>
          <w:i/>
        </w:rPr>
        <w:t xml:space="preserve"> </w:t>
      </w:r>
      <w:r w:rsidRPr="002617F5">
        <w:rPr>
          <w:i/>
        </w:rPr>
        <w:t>Boston</w:t>
      </w:r>
      <w:r w:rsidR="00AA3610" w:rsidRPr="002617F5">
        <w:rPr>
          <w:i/>
        </w:rPr>
        <w:tab/>
      </w:r>
      <w:r w:rsidRPr="002617F5">
        <w:rPr>
          <w:i/>
        </w:rPr>
        <w:t>Group</w:t>
      </w:r>
    </w:p>
    <w:p w:rsidR="00E20493" w:rsidRPr="002617F5" w:rsidRDefault="00E20493" w:rsidP="008F210A">
      <w:pPr>
        <w:ind w:left="2160" w:hanging="2160"/>
        <w:rPr>
          <w:sz w:val="20"/>
          <w:szCs w:val="20"/>
        </w:rPr>
      </w:pPr>
    </w:p>
    <w:p w:rsidR="004354EB" w:rsidRPr="002617F5" w:rsidRDefault="004354EB" w:rsidP="008F210A">
      <w:r w:rsidRPr="002617F5">
        <w:t>GoP</w:t>
      </w:r>
      <w:r w:rsidR="00AA3610" w:rsidRPr="002617F5">
        <w:t>.</w:t>
      </w:r>
      <w:r w:rsidRPr="002617F5">
        <w:t xml:space="preserve"> (1998)</w:t>
      </w:r>
      <w:r w:rsidR="00AA3610" w:rsidRPr="002617F5">
        <w:t xml:space="preserve">. </w:t>
      </w:r>
      <w:r w:rsidR="00994184" w:rsidRPr="002617F5">
        <w:t>N</w:t>
      </w:r>
      <w:r w:rsidR="00681DE7" w:rsidRPr="002617F5">
        <w:t xml:space="preserve">inth </w:t>
      </w:r>
      <w:r w:rsidR="00952A11" w:rsidRPr="002617F5">
        <w:t>F</w:t>
      </w:r>
      <w:r w:rsidR="00681DE7" w:rsidRPr="002617F5">
        <w:t>ive Year Development Plan</w:t>
      </w:r>
      <w:r w:rsidR="00952A11" w:rsidRPr="002617F5">
        <w:t xml:space="preserve"> </w:t>
      </w:r>
      <w:r w:rsidR="00681DE7" w:rsidRPr="002617F5">
        <w:t>(Final Report).Islamabad,</w:t>
      </w:r>
      <w:r w:rsidR="00952A11" w:rsidRPr="002617F5">
        <w:t xml:space="preserve"> </w:t>
      </w:r>
      <w:r w:rsidR="00A809F7" w:rsidRPr="002617F5">
        <w:rPr>
          <w:i/>
        </w:rPr>
        <w:t>Planning</w:t>
      </w:r>
      <w:r w:rsidR="00AA3610" w:rsidRPr="002617F5">
        <w:rPr>
          <w:i/>
        </w:rPr>
        <w:tab/>
      </w:r>
      <w:r w:rsidR="00994184" w:rsidRPr="002617F5">
        <w:rPr>
          <w:i/>
        </w:rPr>
        <w:t>Commission</w:t>
      </w:r>
      <w:r w:rsidR="00994184" w:rsidRPr="002617F5">
        <w:t xml:space="preserve">, </w:t>
      </w:r>
      <w:r w:rsidR="00994184" w:rsidRPr="002617F5">
        <w:rPr>
          <w:i/>
        </w:rPr>
        <w:t>Government</w:t>
      </w:r>
      <w:r w:rsidR="00952A11" w:rsidRPr="002617F5">
        <w:rPr>
          <w:i/>
        </w:rPr>
        <w:t xml:space="preserve"> </w:t>
      </w:r>
      <w:r w:rsidR="00994184" w:rsidRPr="002617F5">
        <w:rPr>
          <w:i/>
        </w:rPr>
        <w:t>of</w:t>
      </w:r>
      <w:r w:rsidR="00952A11" w:rsidRPr="002617F5">
        <w:rPr>
          <w:i/>
        </w:rPr>
        <w:t xml:space="preserve"> </w:t>
      </w:r>
      <w:r w:rsidR="00994184" w:rsidRPr="002617F5">
        <w:rPr>
          <w:i/>
        </w:rPr>
        <w:t>Pakistan</w:t>
      </w:r>
      <w:r w:rsidR="00AA3610" w:rsidRPr="002617F5">
        <w:rPr>
          <w:i/>
        </w:rPr>
        <w:t>.</w:t>
      </w:r>
    </w:p>
    <w:p w:rsidR="00E20493" w:rsidRPr="002617F5" w:rsidRDefault="00E20493" w:rsidP="008F210A">
      <w:pPr>
        <w:ind w:left="2160" w:hanging="2160"/>
        <w:rPr>
          <w:sz w:val="20"/>
          <w:szCs w:val="20"/>
        </w:rPr>
      </w:pPr>
    </w:p>
    <w:p w:rsidR="00D73C14" w:rsidRPr="002617F5" w:rsidRDefault="00D73C14" w:rsidP="008F210A">
      <w:pPr>
        <w:ind w:left="2160" w:hanging="2160"/>
      </w:pPr>
      <w:r w:rsidRPr="002617F5">
        <w:t xml:space="preserve">Haq, S. and Ahmed, </w:t>
      </w:r>
      <w:r w:rsidR="00C42F6F" w:rsidRPr="002617F5">
        <w:t>N. (2007)</w:t>
      </w:r>
      <w:r w:rsidR="00AA3610" w:rsidRPr="002617F5">
        <w:t xml:space="preserve">. </w:t>
      </w:r>
      <w:r w:rsidR="00C42F6F" w:rsidRPr="002617F5">
        <w:t xml:space="preserve">The </w:t>
      </w:r>
      <w:r w:rsidR="00952A11" w:rsidRPr="002617F5">
        <w:t>p</w:t>
      </w:r>
      <w:r w:rsidR="00C42F6F" w:rsidRPr="002617F5">
        <w:t xml:space="preserve">lagiarism </w:t>
      </w:r>
      <w:r w:rsidR="00952A11" w:rsidRPr="002617F5">
        <w:t>p</w:t>
      </w:r>
      <w:r w:rsidR="00C42F6F" w:rsidRPr="002617F5">
        <w:t>lague.</w:t>
      </w:r>
      <w:r w:rsidR="00952A11" w:rsidRPr="002617F5">
        <w:t xml:space="preserve"> </w:t>
      </w:r>
      <w:r w:rsidRPr="002617F5">
        <w:rPr>
          <w:i/>
        </w:rPr>
        <w:t>Dawn</w:t>
      </w:r>
      <w:r w:rsidR="00C42F6F" w:rsidRPr="002617F5">
        <w:t>(Article).Karachi, p</w:t>
      </w:r>
      <w:r w:rsidRPr="002617F5">
        <w:t xml:space="preserve">. 17 </w:t>
      </w:r>
    </w:p>
    <w:p w:rsidR="00D73C14" w:rsidRPr="002617F5" w:rsidRDefault="00D73C14" w:rsidP="008F210A">
      <w:pPr>
        <w:ind w:left="2160" w:hanging="2160"/>
        <w:rPr>
          <w:sz w:val="20"/>
          <w:szCs w:val="20"/>
        </w:rPr>
      </w:pPr>
    </w:p>
    <w:p w:rsidR="00E2029A" w:rsidRPr="002617F5" w:rsidRDefault="00E2029A" w:rsidP="008F210A">
      <w:pPr>
        <w:ind w:left="2160" w:hanging="2160"/>
      </w:pPr>
      <w:r w:rsidRPr="002617F5">
        <w:t>Haq, S. and</w:t>
      </w:r>
      <w:r w:rsidR="00952A11" w:rsidRPr="002617F5">
        <w:t xml:space="preserve"> </w:t>
      </w:r>
      <w:r w:rsidRPr="002617F5">
        <w:t>Ahm</w:t>
      </w:r>
      <w:r w:rsidR="002861F3" w:rsidRPr="002617F5">
        <w:t>ed, N. (2006)</w:t>
      </w:r>
      <w:r w:rsidR="00AA3610" w:rsidRPr="002617F5">
        <w:t xml:space="preserve">. </w:t>
      </w:r>
      <w:r w:rsidR="002861F3" w:rsidRPr="002617F5">
        <w:t xml:space="preserve">Lower </w:t>
      </w:r>
      <w:r w:rsidR="00952A11" w:rsidRPr="002617F5">
        <w:t>e</w:t>
      </w:r>
      <w:r w:rsidR="002861F3" w:rsidRPr="002617F5">
        <w:t>xpectation.</w:t>
      </w:r>
      <w:r w:rsidR="00952A11" w:rsidRPr="002617F5">
        <w:t xml:space="preserve"> </w:t>
      </w:r>
      <w:r w:rsidR="002861F3" w:rsidRPr="002617F5">
        <w:rPr>
          <w:i/>
          <w:iCs/>
        </w:rPr>
        <w:t>Dawn</w:t>
      </w:r>
      <w:r w:rsidR="002861F3" w:rsidRPr="002617F5">
        <w:t>(Article).Karachi,</w:t>
      </w:r>
      <w:r w:rsidRPr="002617F5">
        <w:t xml:space="preserve"> pp. 1-2</w:t>
      </w:r>
    </w:p>
    <w:p w:rsidR="00E2029A" w:rsidRPr="002617F5" w:rsidRDefault="00E2029A" w:rsidP="008F210A">
      <w:pPr>
        <w:ind w:left="2160" w:hanging="2160"/>
      </w:pPr>
      <w:r w:rsidRPr="002617F5">
        <w:lastRenderedPageBreak/>
        <w:t>Haq, S. and</w:t>
      </w:r>
      <w:r w:rsidR="00952A11" w:rsidRPr="002617F5">
        <w:t xml:space="preserve"> </w:t>
      </w:r>
      <w:r w:rsidRPr="002617F5">
        <w:t>Ahmed, N.</w:t>
      </w:r>
      <w:r w:rsidR="002861F3" w:rsidRPr="002617F5">
        <w:t xml:space="preserve"> (2004)</w:t>
      </w:r>
      <w:r w:rsidR="00AA3610" w:rsidRPr="002617F5">
        <w:t xml:space="preserve">. </w:t>
      </w:r>
      <w:r w:rsidR="002861F3" w:rsidRPr="002617F5">
        <w:t xml:space="preserve">The </w:t>
      </w:r>
      <w:r w:rsidR="00952A11" w:rsidRPr="002617F5">
        <w:t>m</w:t>
      </w:r>
      <w:r w:rsidR="002861F3" w:rsidRPr="002617F5">
        <w:t xml:space="preserve">issing </w:t>
      </w:r>
      <w:r w:rsidR="00952A11" w:rsidRPr="002617F5">
        <w:t>l</w:t>
      </w:r>
      <w:r w:rsidR="002861F3" w:rsidRPr="002617F5">
        <w:t>ogic.</w:t>
      </w:r>
      <w:r w:rsidR="00952A11" w:rsidRPr="002617F5">
        <w:t xml:space="preserve"> </w:t>
      </w:r>
      <w:r w:rsidRPr="002617F5">
        <w:rPr>
          <w:i/>
        </w:rPr>
        <w:t>Dawn</w:t>
      </w:r>
      <w:r w:rsidR="002861F3" w:rsidRPr="002617F5">
        <w:t>(Article).Karachi, p.</w:t>
      </w:r>
      <w:r w:rsidRPr="002617F5">
        <w:t xml:space="preserve"> 3 </w:t>
      </w:r>
    </w:p>
    <w:p w:rsidR="00E2029A" w:rsidRPr="002617F5" w:rsidRDefault="00E2029A" w:rsidP="008F210A">
      <w:pPr>
        <w:ind w:left="2160" w:hanging="2160"/>
        <w:rPr>
          <w:sz w:val="20"/>
          <w:szCs w:val="20"/>
        </w:rPr>
      </w:pPr>
    </w:p>
    <w:p w:rsidR="00E20493" w:rsidRPr="002617F5" w:rsidRDefault="00E20493" w:rsidP="008F210A">
      <w:r w:rsidRPr="002617F5">
        <w:t>HEC (2003)</w:t>
      </w:r>
      <w:r w:rsidR="00952A11" w:rsidRPr="002617F5">
        <w:t xml:space="preserve">. </w:t>
      </w:r>
      <w:r w:rsidRPr="002617F5">
        <w:t>Implementat</w:t>
      </w:r>
      <w:r w:rsidR="00952A11" w:rsidRPr="002617F5">
        <w:t>ion of Higher Education Reforms:</w:t>
      </w:r>
      <w:r w:rsidRPr="002617F5">
        <w:t xml:space="preserve"> Keynote </w:t>
      </w:r>
      <w:r w:rsidR="00A809F7" w:rsidRPr="002617F5">
        <w:t>Speech</w:t>
      </w:r>
      <w:r w:rsidR="00D357E3" w:rsidRPr="002617F5">
        <w:t xml:space="preserve"> by Prof. Dr. Atta</w:t>
      </w:r>
      <w:r w:rsidR="00AA3610" w:rsidRPr="002617F5">
        <w:tab/>
      </w:r>
      <w:r w:rsidR="00D357E3" w:rsidRPr="002617F5">
        <w:t>ur</w:t>
      </w:r>
      <w:r w:rsidR="00952A11" w:rsidRPr="002617F5">
        <w:t xml:space="preserve"> </w:t>
      </w:r>
      <w:r w:rsidR="00D357E3" w:rsidRPr="002617F5">
        <w:t>Rehman,</w:t>
      </w:r>
      <w:r w:rsidR="00952A11" w:rsidRPr="002617F5">
        <w:t xml:space="preserve"> </w:t>
      </w:r>
      <w:r w:rsidRPr="002617F5">
        <w:t xml:space="preserve">Chairman, HEC on the occasion of Vice-Chancellors Conference, 11 </w:t>
      </w:r>
      <w:r w:rsidR="00AA3610" w:rsidRPr="002617F5">
        <w:tab/>
      </w:r>
      <w:r w:rsidRPr="002617F5">
        <w:t xml:space="preserve">October, Islamabad </w:t>
      </w:r>
    </w:p>
    <w:p w:rsidR="00E20493" w:rsidRPr="002617F5" w:rsidRDefault="00E20493" w:rsidP="008F210A">
      <w:pPr>
        <w:ind w:left="2160" w:hanging="2160"/>
        <w:rPr>
          <w:sz w:val="20"/>
          <w:szCs w:val="20"/>
        </w:rPr>
      </w:pPr>
    </w:p>
    <w:p w:rsidR="00E20493" w:rsidRPr="002617F5" w:rsidRDefault="00E20493" w:rsidP="008F210A">
      <w:r w:rsidRPr="002617F5">
        <w:t>Isani, U.</w:t>
      </w:r>
      <w:r w:rsidR="00952A11" w:rsidRPr="002617F5">
        <w:t xml:space="preserve"> </w:t>
      </w:r>
      <w:r w:rsidRPr="002617F5">
        <w:t>A.G. and</w:t>
      </w:r>
      <w:r w:rsidR="00952A11" w:rsidRPr="002617F5">
        <w:t xml:space="preserve"> </w:t>
      </w:r>
      <w:r w:rsidRPr="002617F5">
        <w:t>Virk, M.L. (200</w:t>
      </w:r>
      <w:r w:rsidR="00872FA7" w:rsidRPr="002617F5">
        <w:t>1)</w:t>
      </w:r>
      <w:r w:rsidR="00952A11" w:rsidRPr="002617F5">
        <w:t xml:space="preserve">. </w:t>
      </w:r>
      <w:r w:rsidR="00AA3610" w:rsidRPr="002617F5">
        <w:t xml:space="preserve">Problems </w:t>
      </w:r>
      <w:r w:rsidR="00872FA7" w:rsidRPr="002617F5">
        <w:t>of Higher Education</w:t>
      </w:r>
      <w:r w:rsidR="00952A11" w:rsidRPr="002617F5">
        <w:t xml:space="preserve"> </w:t>
      </w:r>
      <w:r w:rsidR="00872FA7" w:rsidRPr="002617F5">
        <w:t>(</w:t>
      </w:r>
      <w:r w:rsidR="00AA3610" w:rsidRPr="002617F5">
        <w:rPr>
          <w:i/>
        </w:rPr>
        <w:t>Unpublished paper</w:t>
      </w:r>
      <w:r w:rsidR="00872FA7" w:rsidRPr="002617F5">
        <w:rPr>
          <w:i/>
        </w:rPr>
        <w:t>)</w:t>
      </w:r>
      <w:r w:rsidR="00872FA7" w:rsidRPr="002617F5">
        <w:t>.</w:t>
      </w:r>
      <w:r w:rsidR="00AA3610" w:rsidRPr="002617F5">
        <w:tab/>
      </w:r>
      <w:r w:rsidR="00872FA7" w:rsidRPr="002617F5">
        <w:t>Islamabad,</w:t>
      </w:r>
      <w:r w:rsidR="00952A11" w:rsidRPr="002617F5">
        <w:t xml:space="preserve"> </w:t>
      </w:r>
      <w:r w:rsidRPr="002617F5">
        <w:rPr>
          <w:i/>
        </w:rPr>
        <w:t>Task</w:t>
      </w:r>
      <w:r w:rsidR="00952A11" w:rsidRPr="002617F5">
        <w:rPr>
          <w:i/>
        </w:rPr>
        <w:t xml:space="preserve"> </w:t>
      </w:r>
      <w:r w:rsidRPr="002617F5">
        <w:rPr>
          <w:i/>
        </w:rPr>
        <w:t>Force</w:t>
      </w:r>
      <w:r w:rsidR="00952A11" w:rsidRPr="002617F5">
        <w:rPr>
          <w:i/>
        </w:rPr>
        <w:t xml:space="preserve"> </w:t>
      </w:r>
      <w:r w:rsidRPr="002617F5">
        <w:rPr>
          <w:i/>
        </w:rPr>
        <w:t>on</w:t>
      </w:r>
      <w:r w:rsidR="00952A11" w:rsidRPr="002617F5">
        <w:rPr>
          <w:i/>
        </w:rPr>
        <w:t xml:space="preserve"> </w:t>
      </w:r>
      <w:r w:rsidRPr="002617F5">
        <w:rPr>
          <w:i/>
        </w:rPr>
        <w:t>Improvement</w:t>
      </w:r>
      <w:r w:rsidR="00952A11" w:rsidRPr="002617F5">
        <w:rPr>
          <w:i/>
        </w:rPr>
        <w:t xml:space="preserve"> </w:t>
      </w:r>
      <w:r w:rsidRPr="002617F5">
        <w:rPr>
          <w:i/>
        </w:rPr>
        <w:t>of</w:t>
      </w:r>
      <w:r w:rsidR="00952A11" w:rsidRPr="002617F5">
        <w:rPr>
          <w:i/>
        </w:rPr>
        <w:t xml:space="preserve"> </w:t>
      </w:r>
      <w:r w:rsidRPr="002617F5">
        <w:rPr>
          <w:i/>
        </w:rPr>
        <w:t>Higher</w:t>
      </w:r>
      <w:r w:rsidR="00952A11" w:rsidRPr="002617F5">
        <w:rPr>
          <w:i/>
        </w:rPr>
        <w:t xml:space="preserve"> </w:t>
      </w:r>
      <w:r w:rsidRPr="002617F5">
        <w:rPr>
          <w:i/>
        </w:rPr>
        <w:t>Education</w:t>
      </w:r>
    </w:p>
    <w:p w:rsidR="00E20493" w:rsidRPr="002617F5" w:rsidRDefault="00E20493" w:rsidP="008F210A">
      <w:pPr>
        <w:ind w:left="2160" w:hanging="2160"/>
        <w:rPr>
          <w:sz w:val="20"/>
          <w:szCs w:val="20"/>
        </w:rPr>
      </w:pPr>
    </w:p>
    <w:p w:rsidR="001426C6" w:rsidRPr="002617F5" w:rsidRDefault="001426C6" w:rsidP="008F210A">
      <w:r w:rsidRPr="002617F5">
        <w:t>UNESCO/World Bank</w:t>
      </w:r>
      <w:r w:rsidR="00AA3610" w:rsidRPr="002617F5">
        <w:t>.</w:t>
      </w:r>
      <w:r w:rsidRPr="002617F5">
        <w:t xml:space="preserve"> (2000)</w:t>
      </w:r>
      <w:r w:rsidR="00AA3610" w:rsidRPr="002617F5">
        <w:t xml:space="preserve">. </w:t>
      </w:r>
      <w:r w:rsidRPr="002617F5">
        <w:t xml:space="preserve">Higher </w:t>
      </w:r>
      <w:r w:rsidR="00952A11" w:rsidRPr="002617F5">
        <w:t>e</w:t>
      </w:r>
      <w:r w:rsidRPr="002617F5">
        <w:t xml:space="preserve">ducation in </w:t>
      </w:r>
      <w:r w:rsidR="00952A11" w:rsidRPr="002617F5">
        <w:t>d</w:t>
      </w:r>
      <w:r w:rsidRPr="002617F5">
        <w:t xml:space="preserve">eveloping </w:t>
      </w:r>
      <w:r w:rsidR="00952A11" w:rsidRPr="002617F5">
        <w:t>c</w:t>
      </w:r>
      <w:r w:rsidRPr="002617F5">
        <w:t xml:space="preserve">ountries: Peril and </w:t>
      </w:r>
      <w:r w:rsidR="00952A11" w:rsidRPr="002617F5">
        <w:t>promise,</w:t>
      </w:r>
      <w:r w:rsidRPr="002617F5">
        <w:t xml:space="preserve"> </w:t>
      </w:r>
      <w:r w:rsidR="00AA3610" w:rsidRPr="002617F5">
        <w:tab/>
      </w:r>
      <w:bookmarkStart w:id="0" w:name="_GoBack"/>
      <w:bookmarkEnd w:id="0"/>
      <w:r w:rsidRPr="002617F5">
        <w:rPr>
          <w:i/>
        </w:rPr>
        <w:t>Report</w:t>
      </w:r>
      <w:r w:rsidR="00952A11" w:rsidRPr="002617F5">
        <w:rPr>
          <w:i/>
        </w:rPr>
        <w:t xml:space="preserve"> </w:t>
      </w:r>
      <w:r w:rsidRPr="002617F5">
        <w:rPr>
          <w:i/>
        </w:rPr>
        <w:t>of</w:t>
      </w:r>
      <w:r w:rsidR="00952A11" w:rsidRPr="002617F5">
        <w:rPr>
          <w:i/>
        </w:rPr>
        <w:t xml:space="preserve"> </w:t>
      </w:r>
      <w:r w:rsidRPr="002617F5">
        <w:rPr>
          <w:i/>
        </w:rPr>
        <w:t>Task</w:t>
      </w:r>
      <w:r w:rsidR="00D357E3" w:rsidRPr="002617F5">
        <w:tab/>
      </w:r>
      <w:r w:rsidRPr="002617F5">
        <w:rPr>
          <w:i/>
        </w:rPr>
        <w:t>Force</w:t>
      </w:r>
      <w:r w:rsidR="00952A11" w:rsidRPr="002617F5">
        <w:rPr>
          <w:i/>
        </w:rPr>
        <w:t xml:space="preserve"> </w:t>
      </w:r>
      <w:r w:rsidRPr="002617F5">
        <w:rPr>
          <w:i/>
        </w:rPr>
        <w:t>on</w:t>
      </w:r>
      <w:r w:rsidR="00952A11" w:rsidRPr="002617F5">
        <w:rPr>
          <w:i/>
        </w:rPr>
        <w:t xml:space="preserve"> </w:t>
      </w:r>
      <w:r w:rsidRPr="002617F5">
        <w:rPr>
          <w:i/>
        </w:rPr>
        <w:t>Higher</w:t>
      </w:r>
      <w:r w:rsidR="00952A11" w:rsidRPr="002617F5">
        <w:rPr>
          <w:i/>
        </w:rPr>
        <w:t xml:space="preserve"> </w:t>
      </w:r>
      <w:r w:rsidRPr="002617F5">
        <w:rPr>
          <w:i/>
        </w:rPr>
        <w:t>Education</w:t>
      </w:r>
      <w:r w:rsidR="00952A11" w:rsidRPr="002617F5">
        <w:rPr>
          <w:i/>
        </w:rPr>
        <w:t xml:space="preserve"> </w:t>
      </w:r>
      <w:r w:rsidRPr="002617F5">
        <w:rPr>
          <w:i/>
        </w:rPr>
        <w:t>and</w:t>
      </w:r>
      <w:r w:rsidR="00952A11" w:rsidRPr="002617F5">
        <w:rPr>
          <w:i/>
        </w:rPr>
        <w:t xml:space="preserve"> </w:t>
      </w:r>
      <w:r w:rsidRPr="002617F5">
        <w:rPr>
          <w:i/>
        </w:rPr>
        <w:t>Society</w:t>
      </w:r>
      <w:r w:rsidRPr="002617F5">
        <w:t xml:space="preserve">. </w:t>
      </w:r>
    </w:p>
    <w:sectPr w:rsidR="001426C6" w:rsidRPr="002617F5" w:rsidSect="007F5D5D">
      <w:headerReference w:type="default" r:id="rId8"/>
      <w:footerReference w:type="default" r:id="rId9"/>
      <w:footerReference w:type="first" r:id="rId10"/>
      <w:pgSz w:w="11907" w:h="16840" w:code="9"/>
      <w:pgMar w:top="1440" w:right="1008"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3C5" w:rsidRDefault="00BB23C5">
      <w:r>
        <w:separator/>
      </w:r>
    </w:p>
  </w:endnote>
  <w:endnote w:type="continuationSeparator" w:id="1">
    <w:p w:rsidR="00BB23C5" w:rsidRDefault="00BB23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D2B" w:rsidRDefault="009E2B9C" w:rsidP="00F306CB">
    <w:pPr>
      <w:pStyle w:val="Footer"/>
    </w:pPr>
    <w:r>
      <w:rPr>
        <w:rStyle w:val="PageNumber"/>
      </w:rPr>
      <w:fldChar w:fldCharType="begin"/>
    </w:r>
    <w:r w:rsidR="004F0D2B">
      <w:rPr>
        <w:rStyle w:val="PageNumber"/>
      </w:rPr>
      <w:instrText xml:space="preserve"> PAGE </w:instrText>
    </w:r>
    <w:r>
      <w:rPr>
        <w:rStyle w:val="PageNumber"/>
      </w:rPr>
      <w:fldChar w:fldCharType="separate"/>
    </w:r>
    <w:r w:rsidR="007F5D5D">
      <w:rPr>
        <w:rStyle w:val="PageNumber"/>
        <w:noProof/>
      </w:rPr>
      <w:t>3</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D5D" w:rsidRDefault="007F5D5D" w:rsidP="007F5D5D">
    <w:pPr>
      <w:pStyle w:val="Footer"/>
    </w:pPr>
    <w:r w:rsidRPr="00AD1BF2">
      <w:rPr>
        <w:sz w:val="22"/>
      </w:rPr>
      <w:t>JSSIR</w:t>
    </w:r>
    <w:r>
      <w:t xml:space="preserve">       </w:t>
    </w:r>
    <w:r w:rsidRPr="00AD1BF2">
      <w:rPr>
        <w:i/>
      </w:rPr>
      <w:t>Volume 2, Number 1, June 2013</w:t>
    </w:r>
  </w:p>
  <w:p w:rsidR="007F5D5D" w:rsidRDefault="007F5D5D">
    <w:pPr>
      <w:pStyle w:val="Footer"/>
    </w:pPr>
  </w:p>
  <w:p w:rsidR="004F0D2B" w:rsidRDefault="004F0D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3C5" w:rsidRDefault="00BB23C5">
      <w:r>
        <w:separator/>
      </w:r>
    </w:p>
  </w:footnote>
  <w:footnote w:type="continuationSeparator" w:id="1">
    <w:p w:rsidR="00BB23C5" w:rsidRDefault="00BB23C5">
      <w:r>
        <w:continuationSeparator/>
      </w:r>
    </w:p>
  </w:footnote>
  <w:footnote w:id="2">
    <w:p w:rsidR="004F0D2B" w:rsidRDefault="004F0D2B">
      <w:pPr>
        <w:pStyle w:val="FootnoteText"/>
        <w:rPr>
          <w:i/>
        </w:rPr>
      </w:pPr>
      <w:r w:rsidRPr="00F41932">
        <w:rPr>
          <w:rStyle w:val="FootnoteReference"/>
          <w:i/>
        </w:rPr>
        <w:footnoteRef/>
      </w:r>
      <w:r w:rsidRPr="00F41932">
        <w:rPr>
          <w:i/>
        </w:rPr>
        <w:t xml:space="preserve"> Professor and Chairman, Department of Architecture and Planning, NED University of Engineering and Technology, Karachi</w:t>
      </w:r>
      <w:r>
        <w:rPr>
          <w:i/>
        </w:rPr>
        <w:t>.</w:t>
      </w:r>
    </w:p>
    <w:p w:rsidR="004F0D2B" w:rsidRPr="00F41932" w:rsidRDefault="004F0D2B">
      <w:pPr>
        <w:pStyle w:val="FootnoteText"/>
        <w:rPr>
          <w:i/>
        </w:rPr>
      </w:pPr>
      <w:r>
        <w:rPr>
          <w:i/>
        </w:rPr>
        <w:t>Email:</w:t>
      </w:r>
      <w:r w:rsidRPr="005F7294">
        <w:t>nomaniconn@hotmail.com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D5D" w:rsidRPr="007F5D5D" w:rsidRDefault="007F5D5D">
    <w:pPr>
      <w:pStyle w:val="Header"/>
      <w:rPr>
        <w:i/>
      </w:rPr>
    </w:pPr>
    <w:r w:rsidRPr="007F5D5D">
      <w:rPr>
        <w:i/>
      </w:rPr>
      <w:t>Ahmed; social concerns on higher education reforms</w:t>
    </w:r>
  </w:p>
  <w:p w:rsidR="007F5D5D" w:rsidRDefault="007F5D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E68CB"/>
    <w:multiLevelType w:val="hybridMultilevel"/>
    <w:tmpl w:val="882EF512"/>
    <w:lvl w:ilvl="0" w:tplc="4C7212A4">
      <w:start w:val="1"/>
      <w:numFmt w:val="bullet"/>
      <w:lvlText w:val=""/>
      <w:lvlJc w:val="left"/>
      <w:pPr>
        <w:tabs>
          <w:tab w:val="num" w:pos="72"/>
        </w:tabs>
        <w:ind w:left="144" w:hanging="144"/>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FEC3B82"/>
    <w:multiLevelType w:val="hybridMultilevel"/>
    <w:tmpl w:val="65D8680C"/>
    <w:lvl w:ilvl="0" w:tplc="25B87C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0820622"/>
    <w:multiLevelType w:val="hybridMultilevel"/>
    <w:tmpl w:val="DC7040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9751816"/>
    <w:multiLevelType w:val="hybridMultilevel"/>
    <w:tmpl w:val="5AE0BB2A"/>
    <w:lvl w:ilvl="0" w:tplc="25B87C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21E6008"/>
    <w:multiLevelType w:val="hybridMultilevel"/>
    <w:tmpl w:val="F4BEDE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E34BF7"/>
    <w:rsid w:val="00004F4E"/>
    <w:rsid w:val="00010A58"/>
    <w:rsid w:val="00050D79"/>
    <w:rsid w:val="00051DA4"/>
    <w:rsid w:val="00054939"/>
    <w:rsid w:val="000674F9"/>
    <w:rsid w:val="00074FC3"/>
    <w:rsid w:val="000B626A"/>
    <w:rsid w:val="000F3868"/>
    <w:rsid w:val="00110A44"/>
    <w:rsid w:val="001164E7"/>
    <w:rsid w:val="001214A5"/>
    <w:rsid w:val="00122468"/>
    <w:rsid w:val="00122BBC"/>
    <w:rsid w:val="001357C0"/>
    <w:rsid w:val="00140080"/>
    <w:rsid w:val="001426C6"/>
    <w:rsid w:val="00161DD3"/>
    <w:rsid w:val="00163C98"/>
    <w:rsid w:val="0017194D"/>
    <w:rsid w:val="00175D80"/>
    <w:rsid w:val="001810AB"/>
    <w:rsid w:val="001816A7"/>
    <w:rsid w:val="00184B5B"/>
    <w:rsid w:val="001A14B4"/>
    <w:rsid w:val="001B66BA"/>
    <w:rsid w:val="001C5C20"/>
    <w:rsid w:val="001E3F37"/>
    <w:rsid w:val="001E68E3"/>
    <w:rsid w:val="00216F74"/>
    <w:rsid w:val="00237834"/>
    <w:rsid w:val="00246FF7"/>
    <w:rsid w:val="0025188C"/>
    <w:rsid w:val="00255F26"/>
    <w:rsid w:val="00257204"/>
    <w:rsid w:val="002617F5"/>
    <w:rsid w:val="002627B0"/>
    <w:rsid w:val="00265E61"/>
    <w:rsid w:val="00266C13"/>
    <w:rsid w:val="00266EE3"/>
    <w:rsid w:val="00274831"/>
    <w:rsid w:val="002861F3"/>
    <w:rsid w:val="002A1471"/>
    <w:rsid w:val="002C7718"/>
    <w:rsid w:val="00311D3B"/>
    <w:rsid w:val="003137E1"/>
    <w:rsid w:val="003201D7"/>
    <w:rsid w:val="00320402"/>
    <w:rsid w:val="003410D2"/>
    <w:rsid w:val="003468E5"/>
    <w:rsid w:val="0036290D"/>
    <w:rsid w:val="003721D5"/>
    <w:rsid w:val="00391C6C"/>
    <w:rsid w:val="003922C7"/>
    <w:rsid w:val="00395609"/>
    <w:rsid w:val="00395820"/>
    <w:rsid w:val="003A44A0"/>
    <w:rsid w:val="003A52ED"/>
    <w:rsid w:val="003A7F3A"/>
    <w:rsid w:val="003B65E0"/>
    <w:rsid w:val="003D201F"/>
    <w:rsid w:val="003D27EE"/>
    <w:rsid w:val="003F4F6D"/>
    <w:rsid w:val="00407B78"/>
    <w:rsid w:val="004115CD"/>
    <w:rsid w:val="00426BD7"/>
    <w:rsid w:val="004354EB"/>
    <w:rsid w:val="0046260B"/>
    <w:rsid w:val="00467419"/>
    <w:rsid w:val="004939CB"/>
    <w:rsid w:val="004A5A45"/>
    <w:rsid w:val="004B1B78"/>
    <w:rsid w:val="004C493F"/>
    <w:rsid w:val="004D7D84"/>
    <w:rsid w:val="004F0544"/>
    <w:rsid w:val="004F0D2B"/>
    <w:rsid w:val="0050215B"/>
    <w:rsid w:val="00513BA3"/>
    <w:rsid w:val="005144D8"/>
    <w:rsid w:val="0052291F"/>
    <w:rsid w:val="00523ECB"/>
    <w:rsid w:val="00525AB0"/>
    <w:rsid w:val="005334E5"/>
    <w:rsid w:val="00533FFF"/>
    <w:rsid w:val="00541B0B"/>
    <w:rsid w:val="00581357"/>
    <w:rsid w:val="005844AE"/>
    <w:rsid w:val="005909AD"/>
    <w:rsid w:val="005A1B9B"/>
    <w:rsid w:val="005A4F79"/>
    <w:rsid w:val="005B26E0"/>
    <w:rsid w:val="005B4C36"/>
    <w:rsid w:val="005B6A2E"/>
    <w:rsid w:val="005C18CF"/>
    <w:rsid w:val="005D7C21"/>
    <w:rsid w:val="005F114B"/>
    <w:rsid w:val="00601184"/>
    <w:rsid w:val="006228A1"/>
    <w:rsid w:val="00630564"/>
    <w:rsid w:val="00667DE9"/>
    <w:rsid w:val="00674711"/>
    <w:rsid w:val="00681DE7"/>
    <w:rsid w:val="006B6AA2"/>
    <w:rsid w:val="006D26BC"/>
    <w:rsid w:val="006D37D7"/>
    <w:rsid w:val="006E209B"/>
    <w:rsid w:val="006E2837"/>
    <w:rsid w:val="006F58B6"/>
    <w:rsid w:val="0070518E"/>
    <w:rsid w:val="00716A57"/>
    <w:rsid w:val="007178A5"/>
    <w:rsid w:val="00724D66"/>
    <w:rsid w:val="00730F08"/>
    <w:rsid w:val="00733B27"/>
    <w:rsid w:val="007352F2"/>
    <w:rsid w:val="00754EB9"/>
    <w:rsid w:val="007552F3"/>
    <w:rsid w:val="00770004"/>
    <w:rsid w:val="00783465"/>
    <w:rsid w:val="007928C2"/>
    <w:rsid w:val="007A45E7"/>
    <w:rsid w:val="007A7AC7"/>
    <w:rsid w:val="007B1795"/>
    <w:rsid w:val="007B6BB5"/>
    <w:rsid w:val="007B7352"/>
    <w:rsid w:val="007C0CF6"/>
    <w:rsid w:val="007C6B66"/>
    <w:rsid w:val="007D72BF"/>
    <w:rsid w:val="007E6FE8"/>
    <w:rsid w:val="007F306E"/>
    <w:rsid w:val="007F5D5D"/>
    <w:rsid w:val="007F6782"/>
    <w:rsid w:val="0081380A"/>
    <w:rsid w:val="00815966"/>
    <w:rsid w:val="00821D63"/>
    <w:rsid w:val="00843964"/>
    <w:rsid w:val="0084524C"/>
    <w:rsid w:val="00853459"/>
    <w:rsid w:val="00866D7F"/>
    <w:rsid w:val="00872FA7"/>
    <w:rsid w:val="00874EB8"/>
    <w:rsid w:val="008B4FB3"/>
    <w:rsid w:val="008C66C8"/>
    <w:rsid w:val="008C7853"/>
    <w:rsid w:val="008E3510"/>
    <w:rsid w:val="008F210A"/>
    <w:rsid w:val="008F309D"/>
    <w:rsid w:val="009143A1"/>
    <w:rsid w:val="009156C8"/>
    <w:rsid w:val="00922211"/>
    <w:rsid w:val="00923BA6"/>
    <w:rsid w:val="0092565E"/>
    <w:rsid w:val="00931189"/>
    <w:rsid w:val="00931679"/>
    <w:rsid w:val="009428C5"/>
    <w:rsid w:val="009458C6"/>
    <w:rsid w:val="00952A11"/>
    <w:rsid w:val="009537E8"/>
    <w:rsid w:val="00966095"/>
    <w:rsid w:val="00977603"/>
    <w:rsid w:val="00982807"/>
    <w:rsid w:val="00994184"/>
    <w:rsid w:val="00996869"/>
    <w:rsid w:val="009A657F"/>
    <w:rsid w:val="009A761E"/>
    <w:rsid w:val="009E2B9C"/>
    <w:rsid w:val="009F2B4E"/>
    <w:rsid w:val="009F754D"/>
    <w:rsid w:val="00A042AA"/>
    <w:rsid w:val="00A128FD"/>
    <w:rsid w:val="00A205AD"/>
    <w:rsid w:val="00A272F9"/>
    <w:rsid w:val="00A41FD0"/>
    <w:rsid w:val="00A45793"/>
    <w:rsid w:val="00A511D1"/>
    <w:rsid w:val="00A623A1"/>
    <w:rsid w:val="00A67BC6"/>
    <w:rsid w:val="00A717C6"/>
    <w:rsid w:val="00A809F7"/>
    <w:rsid w:val="00A80A1F"/>
    <w:rsid w:val="00AA3610"/>
    <w:rsid w:val="00AC1ABC"/>
    <w:rsid w:val="00AC3DB1"/>
    <w:rsid w:val="00AC6FBB"/>
    <w:rsid w:val="00AE2465"/>
    <w:rsid w:val="00AE3A8C"/>
    <w:rsid w:val="00B05372"/>
    <w:rsid w:val="00B14E61"/>
    <w:rsid w:val="00B1544F"/>
    <w:rsid w:val="00B16CEA"/>
    <w:rsid w:val="00B54F03"/>
    <w:rsid w:val="00B61D73"/>
    <w:rsid w:val="00B62852"/>
    <w:rsid w:val="00B63BA5"/>
    <w:rsid w:val="00B74C6C"/>
    <w:rsid w:val="00B820D2"/>
    <w:rsid w:val="00B874AF"/>
    <w:rsid w:val="00BB23C5"/>
    <w:rsid w:val="00BD762B"/>
    <w:rsid w:val="00BE461A"/>
    <w:rsid w:val="00BE76EB"/>
    <w:rsid w:val="00BF269D"/>
    <w:rsid w:val="00BF4CB1"/>
    <w:rsid w:val="00C42F6F"/>
    <w:rsid w:val="00C535BA"/>
    <w:rsid w:val="00C82F00"/>
    <w:rsid w:val="00CA52C8"/>
    <w:rsid w:val="00CB1D76"/>
    <w:rsid w:val="00CB3277"/>
    <w:rsid w:val="00CD17CC"/>
    <w:rsid w:val="00CE3323"/>
    <w:rsid w:val="00CF63A7"/>
    <w:rsid w:val="00D12907"/>
    <w:rsid w:val="00D142AE"/>
    <w:rsid w:val="00D25262"/>
    <w:rsid w:val="00D357E3"/>
    <w:rsid w:val="00D45594"/>
    <w:rsid w:val="00D56ACB"/>
    <w:rsid w:val="00D62149"/>
    <w:rsid w:val="00D6223C"/>
    <w:rsid w:val="00D723C9"/>
    <w:rsid w:val="00D73C14"/>
    <w:rsid w:val="00D759CD"/>
    <w:rsid w:val="00D80C60"/>
    <w:rsid w:val="00D841ED"/>
    <w:rsid w:val="00DA6BDE"/>
    <w:rsid w:val="00DB3674"/>
    <w:rsid w:val="00DB79D5"/>
    <w:rsid w:val="00DC0DF3"/>
    <w:rsid w:val="00DC14B4"/>
    <w:rsid w:val="00DD0570"/>
    <w:rsid w:val="00DD23CA"/>
    <w:rsid w:val="00DE0202"/>
    <w:rsid w:val="00DE495D"/>
    <w:rsid w:val="00DF6323"/>
    <w:rsid w:val="00DF6719"/>
    <w:rsid w:val="00E11D81"/>
    <w:rsid w:val="00E2029A"/>
    <w:rsid w:val="00E20493"/>
    <w:rsid w:val="00E23946"/>
    <w:rsid w:val="00E24791"/>
    <w:rsid w:val="00E34BF7"/>
    <w:rsid w:val="00E42995"/>
    <w:rsid w:val="00E54BB5"/>
    <w:rsid w:val="00E56B32"/>
    <w:rsid w:val="00E57F27"/>
    <w:rsid w:val="00E67B85"/>
    <w:rsid w:val="00E72813"/>
    <w:rsid w:val="00E74A98"/>
    <w:rsid w:val="00EA198D"/>
    <w:rsid w:val="00EA7585"/>
    <w:rsid w:val="00EB2333"/>
    <w:rsid w:val="00EB7C03"/>
    <w:rsid w:val="00F06D8A"/>
    <w:rsid w:val="00F218A2"/>
    <w:rsid w:val="00F306CB"/>
    <w:rsid w:val="00F41932"/>
    <w:rsid w:val="00F45DBA"/>
    <w:rsid w:val="00F56E6C"/>
    <w:rsid w:val="00F57343"/>
    <w:rsid w:val="00F57B91"/>
    <w:rsid w:val="00F73CEE"/>
    <w:rsid w:val="00F779BD"/>
    <w:rsid w:val="00F77C47"/>
    <w:rsid w:val="00F96894"/>
    <w:rsid w:val="00FA03AF"/>
    <w:rsid w:val="00FA0C57"/>
    <w:rsid w:val="00FB2430"/>
    <w:rsid w:val="00FC1EA5"/>
    <w:rsid w:val="00FC38E6"/>
    <w:rsid w:val="00FC7F48"/>
    <w:rsid w:val="00FD30CD"/>
    <w:rsid w:val="00FF53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718"/>
    <w:rPr>
      <w:sz w:val="24"/>
      <w:szCs w:val="24"/>
      <w:lang w:val="en-GB"/>
    </w:rPr>
  </w:style>
  <w:style w:type="paragraph" w:styleId="Heading1">
    <w:name w:val="heading 1"/>
    <w:basedOn w:val="Normal"/>
    <w:next w:val="Normal"/>
    <w:qFormat/>
    <w:rsid w:val="00D841ED"/>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54EB9"/>
    <w:rPr>
      <w:sz w:val="20"/>
      <w:szCs w:val="20"/>
    </w:rPr>
  </w:style>
  <w:style w:type="character" w:styleId="FootnoteReference">
    <w:name w:val="footnote reference"/>
    <w:semiHidden/>
    <w:rsid w:val="00754EB9"/>
    <w:rPr>
      <w:vertAlign w:val="superscript"/>
    </w:rPr>
  </w:style>
  <w:style w:type="table" w:styleId="TableGrid">
    <w:name w:val="Table Grid"/>
    <w:basedOn w:val="TableNormal"/>
    <w:rsid w:val="00754E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66D7F"/>
    <w:rPr>
      <w:color w:val="0000FF"/>
      <w:u w:val="single"/>
    </w:rPr>
  </w:style>
  <w:style w:type="paragraph" w:styleId="BodyText">
    <w:name w:val="Body Text"/>
    <w:basedOn w:val="Normal"/>
    <w:rsid w:val="00D841ED"/>
    <w:pPr>
      <w:jc w:val="both"/>
    </w:pPr>
  </w:style>
  <w:style w:type="paragraph" w:styleId="Header">
    <w:name w:val="header"/>
    <w:basedOn w:val="Normal"/>
    <w:link w:val="HeaderChar"/>
    <w:uiPriority w:val="99"/>
    <w:rsid w:val="00D841ED"/>
    <w:pPr>
      <w:tabs>
        <w:tab w:val="center" w:pos="4320"/>
        <w:tab w:val="right" w:pos="8640"/>
      </w:tabs>
    </w:pPr>
  </w:style>
  <w:style w:type="paragraph" w:styleId="Footer">
    <w:name w:val="footer"/>
    <w:basedOn w:val="Normal"/>
    <w:link w:val="FooterChar"/>
    <w:uiPriority w:val="99"/>
    <w:rsid w:val="004115CD"/>
    <w:pPr>
      <w:tabs>
        <w:tab w:val="center" w:pos="4320"/>
        <w:tab w:val="right" w:pos="8640"/>
      </w:tabs>
    </w:pPr>
  </w:style>
  <w:style w:type="character" w:styleId="PageNumber">
    <w:name w:val="page number"/>
    <w:basedOn w:val="DefaultParagraphFont"/>
    <w:rsid w:val="004115CD"/>
  </w:style>
  <w:style w:type="paragraph" w:styleId="BalloonText">
    <w:name w:val="Balloon Text"/>
    <w:basedOn w:val="Normal"/>
    <w:link w:val="BalloonTextChar"/>
    <w:rsid w:val="0052291F"/>
    <w:rPr>
      <w:rFonts w:ascii="Tahoma" w:hAnsi="Tahoma"/>
      <w:sz w:val="16"/>
      <w:szCs w:val="16"/>
    </w:rPr>
  </w:style>
  <w:style w:type="character" w:customStyle="1" w:styleId="BalloonTextChar">
    <w:name w:val="Balloon Text Char"/>
    <w:link w:val="BalloonText"/>
    <w:rsid w:val="0052291F"/>
    <w:rPr>
      <w:rFonts w:ascii="Tahoma" w:hAnsi="Tahoma" w:cs="Tahoma"/>
      <w:sz w:val="16"/>
      <w:szCs w:val="16"/>
    </w:rPr>
  </w:style>
  <w:style w:type="character" w:customStyle="1" w:styleId="FootnoteTextChar">
    <w:name w:val="Footnote Text Char"/>
    <w:link w:val="FootnoteText"/>
    <w:semiHidden/>
    <w:rsid w:val="00AC1ABC"/>
  </w:style>
  <w:style w:type="character" w:customStyle="1" w:styleId="FooterChar">
    <w:name w:val="Footer Char"/>
    <w:basedOn w:val="DefaultParagraphFont"/>
    <w:link w:val="Footer"/>
    <w:uiPriority w:val="99"/>
    <w:rsid w:val="00F306CB"/>
    <w:rPr>
      <w:sz w:val="24"/>
      <w:szCs w:val="24"/>
    </w:rPr>
  </w:style>
  <w:style w:type="character" w:customStyle="1" w:styleId="HeaderChar">
    <w:name w:val="Header Char"/>
    <w:basedOn w:val="DefaultParagraphFont"/>
    <w:link w:val="Header"/>
    <w:uiPriority w:val="99"/>
    <w:rsid w:val="007F5D5D"/>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4450041">
      <w:bodyDiv w:val="1"/>
      <w:marLeft w:val="0"/>
      <w:marRight w:val="0"/>
      <w:marTop w:val="0"/>
      <w:marBottom w:val="0"/>
      <w:divBdr>
        <w:top w:val="none" w:sz="0" w:space="0" w:color="auto"/>
        <w:left w:val="none" w:sz="0" w:space="0" w:color="auto"/>
        <w:bottom w:val="none" w:sz="0" w:space="0" w:color="auto"/>
        <w:right w:val="none" w:sz="0" w:space="0" w:color="auto"/>
      </w:divBdr>
    </w:div>
    <w:div w:id="206386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BF803-91AD-427A-A406-5032DCD0B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5244</Words>
  <Characters>29894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SOCIAL CONCERNS ON HIGHER EDUCATION REFORMS DURING THE PAST EIGHT YEARS IN PAKISTAN: A CRITICAL PERSPECTIVE</vt:lpstr>
    </vt:vector>
  </TitlesOfParts>
  <Company>NEDUET</Company>
  <LinksUpToDate>false</LinksUpToDate>
  <CharactersWithSpaces>35068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CONCERNS ON HIGHER EDUCATION REFORMS DURING THE PAST EIGHT YEARS IN PAKISTAN: A CRITICAL PERSPECTIVE</dc:title>
  <dc:creator>Ghafoor Shah</dc:creator>
  <cp:lastModifiedBy>dell</cp:lastModifiedBy>
  <cp:revision>7</cp:revision>
  <cp:lastPrinted>2013-03-07T09:48:00Z</cp:lastPrinted>
  <dcterms:created xsi:type="dcterms:W3CDTF">2013-04-15T11:02:00Z</dcterms:created>
  <dcterms:modified xsi:type="dcterms:W3CDTF">2013-04-16T06:25:00Z</dcterms:modified>
</cp:coreProperties>
</file>